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F665" w14:textId="77777777" w:rsidR="000874A6" w:rsidRPr="001844D2" w:rsidRDefault="000874A6" w:rsidP="000874A6">
      <w:pPr>
        <w:rPr>
          <w:rFonts w:eastAsia="Times New Roman"/>
          <w:bCs/>
          <w:color w:val="BEB511"/>
          <w:sz w:val="32"/>
          <w:szCs w:val="32"/>
        </w:rPr>
      </w:pPr>
      <w:r w:rsidRPr="001844D2">
        <w:rPr>
          <w:rFonts w:eastAsia="Times New Roman"/>
          <w:bCs/>
          <w:color w:val="BEB511"/>
          <w:sz w:val="32"/>
          <w:szCs w:val="32"/>
        </w:rPr>
        <w:t xml:space="preserve">3: RDMP template </w:t>
      </w:r>
    </w:p>
    <w:p w14:paraId="2D5760C0" w14:textId="77777777" w:rsidR="000874A6" w:rsidRPr="001844D2" w:rsidRDefault="000874A6" w:rsidP="000874A6">
      <w:pPr>
        <w:rPr>
          <w:sz w:val="20"/>
          <w:szCs w:val="20"/>
        </w:rPr>
      </w:pPr>
      <w:r>
        <w:rPr>
          <w:sz w:val="20"/>
          <w:szCs w:val="20"/>
        </w:rPr>
        <w:t>A</w:t>
      </w:r>
      <w:r w:rsidRPr="001844D2">
        <w:rPr>
          <w:sz w:val="20"/>
          <w:szCs w:val="20"/>
        </w:rPr>
        <w:t>fter completing the EBEC approval online, a first draft RDMP is generated automatically</w:t>
      </w:r>
    </w:p>
    <w:p w14:paraId="0C277A59" w14:textId="77777777" w:rsidR="000874A6" w:rsidRPr="001844D2" w:rsidRDefault="000874A6" w:rsidP="000874A6"/>
    <w:p w14:paraId="618D5E94" w14:textId="50C35FFB" w:rsidR="000874A6" w:rsidRPr="00A66A33" w:rsidRDefault="000874A6" w:rsidP="00A66A33">
      <w:pPr>
        <w:spacing w:after="200" w:line="276" w:lineRule="auto"/>
        <w:jc w:val="both"/>
        <w:rPr>
          <w:rFonts w:eastAsia="Calibri"/>
          <w:bCs/>
        </w:rPr>
      </w:pPr>
      <w:r w:rsidRPr="001844D2">
        <w:rPr>
          <w:rFonts w:eastAsia="Calibri"/>
          <w:b/>
        </w:rPr>
        <w:t>1. Project name:</w:t>
      </w:r>
      <w:r w:rsidR="00A55A7E">
        <w:rPr>
          <w:rFonts w:eastAsia="Calibri"/>
          <w:b/>
        </w:rPr>
        <w:t xml:space="preserve"> </w:t>
      </w:r>
      <w:r w:rsidR="00A66A33" w:rsidRPr="00A66A33">
        <w:rPr>
          <w:rFonts w:eastAsia="Calibri"/>
          <w:bCs/>
        </w:rPr>
        <w:t>Meta-analytic research on absorptive capacity and entrepreneurial engagement</w:t>
      </w:r>
      <w:r w:rsidR="00A66A33">
        <w:rPr>
          <w:rFonts w:eastAsia="Calibri"/>
          <w:bCs/>
        </w:rPr>
        <w:t xml:space="preserve">: </w:t>
      </w:r>
      <w:r w:rsidR="00A66A33" w:rsidRPr="00A66A33">
        <w:rPr>
          <w:rFonts w:eastAsia="Calibri"/>
          <w:bCs/>
        </w:rPr>
        <w:t>Essays on antecedents and institutions</w:t>
      </w:r>
    </w:p>
    <w:p w14:paraId="07724117" w14:textId="64B8D0A1" w:rsidR="000874A6" w:rsidRPr="001844D2" w:rsidRDefault="000874A6" w:rsidP="000874A6">
      <w:pPr>
        <w:spacing w:after="200" w:line="276" w:lineRule="auto"/>
        <w:jc w:val="both"/>
        <w:rPr>
          <w:rFonts w:eastAsia="Calibri"/>
          <w:b/>
        </w:rPr>
      </w:pPr>
      <w:r w:rsidRPr="001844D2">
        <w:rPr>
          <w:rFonts w:eastAsia="Calibri"/>
          <w:b/>
        </w:rPr>
        <w:t>2. Lead researcher:</w:t>
      </w:r>
      <w:r w:rsidR="00A53222">
        <w:rPr>
          <w:rFonts w:eastAsia="Calibri"/>
          <w:b/>
        </w:rPr>
        <w:t xml:space="preserve"> </w:t>
      </w:r>
      <w:r w:rsidR="00A53222" w:rsidRPr="00A66A33">
        <w:rPr>
          <w:rFonts w:eastAsia="Calibri"/>
          <w:bCs/>
        </w:rPr>
        <w:t>Lance Cosaert</w:t>
      </w:r>
    </w:p>
    <w:p w14:paraId="4537C35B" w14:textId="366D027A" w:rsidR="000874A6" w:rsidRPr="001844D2" w:rsidRDefault="000874A6" w:rsidP="000874A6">
      <w:pPr>
        <w:spacing w:after="200" w:line="276" w:lineRule="auto"/>
        <w:jc w:val="both"/>
        <w:rPr>
          <w:rFonts w:eastAsia="Calibri"/>
          <w:b/>
        </w:rPr>
      </w:pPr>
      <w:r w:rsidRPr="001844D2">
        <w:rPr>
          <w:rFonts w:eastAsia="Calibri"/>
          <w:b/>
        </w:rPr>
        <w:t>3. Data steward:</w:t>
      </w:r>
      <w:r w:rsidR="00A53222">
        <w:rPr>
          <w:rFonts w:eastAsia="Calibri"/>
          <w:b/>
        </w:rPr>
        <w:t xml:space="preserve"> </w:t>
      </w:r>
      <w:r w:rsidR="00A53222" w:rsidRPr="00A66A33">
        <w:rPr>
          <w:rFonts w:eastAsia="Calibri"/>
          <w:bCs/>
        </w:rPr>
        <w:t>Lance Cosaert</w:t>
      </w:r>
    </w:p>
    <w:p w14:paraId="074E5626" w14:textId="77777777" w:rsidR="000874A6" w:rsidRPr="00A66A33" w:rsidRDefault="000874A6" w:rsidP="000874A6">
      <w:pPr>
        <w:spacing w:after="200" w:line="276" w:lineRule="auto"/>
        <w:jc w:val="both"/>
        <w:rPr>
          <w:rFonts w:eastAsia="Calibri"/>
          <w:bCs/>
        </w:rPr>
      </w:pPr>
      <w:r w:rsidRPr="001844D2">
        <w:rPr>
          <w:rFonts w:eastAsia="Calibri"/>
          <w:b/>
        </w:rPr>
        <w:t>4. Research question(s):</w:t>
      </w:r>
    </w:p>
    <w:p w14:paraId="0233A2BE" w14:textId="37F4A387" w:rsidR="00A66A33" w:rsidRDefault="00A66A33" w:rsidP="000874A6">
      <w:pPr>
        <w:spacing w:after="200" w:line="276" w:lineRule="auto"/>
        <w:jc w:val="both"/>
        <w:rPr>
          <w:rFonts w:eastAsia="Calibri"/>
          <w:bCs/>
        </w:rPr>
      </w:pPr>
      <w:r w:rsidRPr="00A66A33">
        <w:rPr>
          <w:rFonts w:eastAsia="Calibri"/>
          <w:bCs/>
        </w:rPr>
        <w:t xml:space="preserve">- </w:t>
      </w:r>
      <w:r w:rsidRPr="00A66A33">
        <w:rPr>
          <w:rFonts w:eastAsia="Calibri"/>
          <w:bCs/>
        </w:rPr>
        <w:t>How do firms effectively develop their absorptive capacity?</w:t>
      </w:r>
    </w:p>
    <w:p w14:paraId="085F25B9" w14:textId="3B88DF2D" w:rsidR="00A66A33" w:rsidRDefault="00A66A33" w:rsidP="00A66A33">
      <w:pPr>
        <w:spacing w:after="200" w:line="276" w:lineRule="auto"/>
        <w:jc w:val="both"/>
        <w:rPr>
          <w:rFonts w:eastAsia="Calibri"/>
          <w:bCs/>
        </w:rPr>
      </w:pPr>
      <w:r>
        <w:rPr>
          <w:rFonts w:eastAsia="Calibri"/>
          <w:bCs/>
        </w:rPr>
        <w:t xml:space="preserve">- </w:t>
      </w:r>
      <w:r w:rsidRPr="00A66A33">
        <w:rPr>
          <w:rFonts w:eastAsia="Calibri"/>
          <w:bCs/>
        </w:rPr>
        <w:t xml:space="preserve">How do different regimes of intellectual property right influence how firms </w:t>
      </w:r>
      <w:r>
        <w:rPr>
          <w:rFonts w:eastAsia="Calibri"/>
          <w:bCs/>
        </w:rPr>
        <w:t xml:space="preserve"> </w:t>
      </w:r>
      <w:r w:rsidRPr="00A66A33">
        <w:rPr>
          <w:rFonts w:eastAsia="Calibri"/>
          <w:bCs/>
        </w:rPr>
        <w:t>appropriate value, i.e., innovation output and financial performance, from their absorptive capacity</w:t>
      </w:r>
    </w:p>
    <w:p w14:paraId="02447B7F" w14:textId="199136E2" w:rsidR="00A66A33" w:rsidRPr="00A66A33" w:rsidRDefault="00A66A33" w:rsidP="00A66A33">
      <w:pPr>
        <w:spacing w:after="200" w:line="276" w:lineRule="auto"/>
        <w:jc w:val="both"/>
        <w:rPr>
          <w:rFonts w:eastAsia="Calibri"/>
          <w:bCs/>
        </w:rPr>
      </w:pPr>
      <w:r>
        <w:rPr>
          <w:rFonts w:eastAsia="Calibri"/>
          <w:bCs/>
        </w:rPr>
        <w:t xml:space="preserve">- </w:t>
      </w:r>
      <w:r w:rsidRPr="00A66A33">
        <w:rPr>
          <w:rFonts w:eastAsia="Calibri"/>
          <w:bCs/>
        </w:rPr>
        <w:t>How do institutional configurations influence the extent to which entrepreneurial organizations appropriate value from their activities</w:t>
      </w:r>
    </w:p>
    <w:p w14:paraId="634BAC58" w14:textId="77777777" w:rsidR="000874A6" w:rsidRDefault="000874A6" w:rsidP="000874A6">
      <w:pPr>
        <w:spacing w:after="200" w:line="276" w:lineRule="auto"/>
        <w:jc w:val="both"/>
        <w:rPr>
          <w:rFonts w:eastAsia="Calibri"/>
          <w:b/>
        </w:rPr>
      </w:pPr>
      <w:r w:rsidRPr="001844D2">
        <w:rPr>
          <w:rFonts w:eastAsia="Calibri"/>
          <w:b/>
        </w:rPr>
        <w:t>5. Data to be gathered (including location):</w:t>
      </w:r>
    </w:p>
    <w:p w14:paraId="2CA505D1" w14:textId="19F49ACC" w:rsidR="00A66A33" w:rsidRDefault="00A66A33" w:rsidP="00A66A33">
      <w:pPr>
        <w:spacing w:after="200" w:line="276" w:lineRule="auto"/>
        <w:jc w:val="both"/>
        <w:rPr>
          <w:rFonts w:eastAsia="Calibri"/>
          <w:bCs/>
        </w:rPr>
      </w:pPr>
      <w:r>
        <w:rPr>
          <w:rFonts w:eastAsia="Calibri"/>
          <w:bCs/>
        </w:rPr>
        <w:t xml:space="preserve">- </w:t>
      </w:r>
      <w:r>
        <w:rPr>
          <w:rFonts w:eastAsia="Calibri"/>
          <w:bCs/>
        </w:rPr>
        <w:t>Effect sizes are derived from existing academic literature.</w:t>
      </w:r>
    </w:p>
    <w:p w14:paraId="4672FDA6" w14:textId="7AA7A47A" w:rsidR="00A66A33" w:rsidRDefault="00A66A33" w:rsidP="00A66A33">
      <w:pPr>
        <w:spacing w:after="200" w:line="276" w:lineRule="auto"/>
        <w:jc w:val="both"/>
        <w:rPr>
          <w:rFonts w:eastAsia="Calibri"/>
          <w:bCs/>
        </w:rPr>
      </w:pPr>
      <w:r>
        <w:rPr>
          <w:rFonts w:eastAsia="Calibri"/>
          <w:bCs/>
        </w:rPr>
        <w:t>- Public data sources are used to complement the dataset:</w:t>
      </w:r>
    </w:p>
    <w:p w14:paraId="03B74C33" w14:textId="77777777" w:rsidR="00EA722D" w:rsidRDefault="00A66A33" w:rsidP="00EA722D">
      <w:pPr>
        <w:spacing w:after="200" w:line="276" w:lineRule="auto"/>
        <w:jc w:val="both"/>
        <w:rPr>
          <w:rFonts w:eastAsia="Calibri"/>
          <w:bCs/>
        </w:rPr>
      </w:pPr>
      <w:r>
        <w:rPr>
          <w:rFonts w:eastAsia="Calibri"/>
          <w:bCs/>
        </w:rPr>
        <w:tab/>
        <w:t xml:space="preserve">- </w:t>
      </w:r>
      <w:r w:rsidR="00EA722D" w:rsidRPr="00EA722D">
        <w:rPr>
          <w:rFonts w:eastAsia="Calibri"/>
          <w:bCs/>
        </w:rPr>
        <w:t xml:space="preserve">Intellectual Property Right Protection scores obtained from The Global Competitiveness </w:t>
      </w:r>
      <w:r w:rsidR="00EA722D">
        <w:rPr>
          <w:rFonts w:eastAsia="Calibri"/>
          <w:bCs/>
        </w:rPr>
        <w:t xml:space="preserve"> </w:t>
      </w:r>
      <w:r w:rsidR="00EA722D" w:rsidRPr="00EA722D">
        <w:rPr>
          <w:rFonts w:eastAsia="Calibri"/>
          <w:bCs/>
        </w:rPr>
        <w:t xml:space="preserve">Index developed by The World Economic Forum. </w:t>
      </w:r>
    </w:p>
    <w:p w14:paraId="06D0BEA4" w14:textId="491DFF72" w:rsidR="00A66A33" w:rsidRDefault="00EA722D" w:rsidP="00EA722D">
      <w:pPr>
        <w:spacing w:after="200" w:line="276" w:lineRule="auto"/>
        <w:ind w:firstLine="708"/>
        <w:jc w:val="both"/>
        <w:rPr>
          <w:rFonts w:eastAsia="Calibri"/>
          <w:bCs/>
        </w:rPr>
      </w:pPr>
      <w:r>
        <w:rPr>
          <w:rFonts w:eastAsia="Calibri"/>
          <w:bCs/>
        </w:rPr>
        <w:t xml:space="preserve">- </w:t>
      </w:r>
      <w:r w:rsidRPr="00EA722D">
        <w:rPr>
          <w:rFonts w:eastAsia="Calibri"/>
          <w:bCs/>
        </w:rPr>
        <w:t xml:space="preserve">IPR enforcement, on the other hand, </w:t>
      </w:r>
      <w:r>
        <w:rPr>
          <w:rFonts w:eastAsia="Calibri"/>
          <w:bCs/>
        </w:rPr>
        <w:t xml:space="preserve"> </w:t>
      </w:r>
      <w:r w:rsidRPr="00EA722D">
        <w:rPr>
          <w:rFonts w:eastAsia="Calibri"/>
          <w:bCs/>
        </w:rPr>
        <w:t>is proxied using the Rule of Law (e.g. van Essen et al., 2012). The Rule of Law is one of the five World Governance Indicators (Kaufmann et al., 2009).</w:t>
      </w:r>
    </w:p>
    <w:p w14:paraId="370C8498" w14:textId="05C225A0" w:rsidR="00EA722D" w:rsidRDefault="00EA722D" w:rsidP="00EA722D">
      <w:pPr>
        <w:spacing w:after="200" w:line="276" w:lineRule="auto"/>
        <w:ind w:firstLine="708"/>
        <w:jc w:val="both"/>
        <w:rPr>
          <w:rFonts w:eastAsia="Calibri"/>
          <w:bCs/>
        </w:rPr>
      </w:pPr>
      <w:r>
        <w:rPr>
          <w:rFonts w:eastAsia="Calibri"/>
          <w:bCs/>
        </w:rPr>
        <w:t>- Country GPD (growth): World Bank data</w:t>
      </w:r>
    </w:p>
    <w:p w14:paraId="6EED9CCB" w14:textId="74AEC024" w:rsidR="00A66A33" w:rsidRPr="00673C56" w:rsidRDefault="00EA722D" w:rsidP="00673C56">
      <w:pPr>
        <w:spacing w:after="200" w:line="276" w:lineRule="auto"/>
        <w:ind w:firstLine="708"/>
        <w:jc w:val="both"/>
        <w:rPr>
          <w:rFonts w:eastAsia="Calibri"/>
          <w:bCs/>
        </w:rPr>
      </w:pPr>
      <w:r>
        <w:rPr>
          <w:rFonts w:eastAsia="Calibri"/>
          <w:bCs/>
        </w:rPr>
        <w:t xml:space="preserve">- Score institutional spheres by </w:t>
      </w:r>
      <w:r>
        <w:t>Witt &amp; Jackson</w:t>
      </w:r>
      <w:r>
        <w:t xml:space="preserve"> (</w:t>
      </w:r>
      <w:r>
        <w:t>2016</w:t>
      </w:r>
      <w:r>
        <w:t>)</w:t>
      </w:r>
    </w:p>
    <w:p w14:paraId="691FA32D" w14:textId="77777777" w:rsidR="000874A6" w:rsidRPr="001844D2" w:rsidRDefault="000874A6" w:rsidP="000874A6">
      <w:pPr>
        <w:jc w:val="both"/>
        <w:rPr>
          <w:rFonts w:eastAsia="Calibri"/>
          <w:b/>
        </w:rPr>
      </w:pPr>
      <w:r w:rsidRPr="001844D2">
        <w:rPr>
          <w:rFonts w:eastAsia="Calibri"/>
          <w:b/>
        </w:rPr>
        <w:t>6. Method of data collection (in case of personal data indicate the basis (</w:t>
      </w:r>
      <w:r w:rsidRPr="001844D2">
        <w:rPr>
          <w:rFonts w:eastAsia="Calibri"/>
          <w:b/>
          <w:i/>
        </w:rPr>
        <w:t>grondslag</w:t>
      </w:r>
      <w:r w:rsidRPr="001844D2">
        <w:rPr>
          <w:rFonts w:eastAsia="Calibri"/>
          <w:b/>
        </w:rPr>
        <w:t xml:space="preserve">)): </w:t>
      </w:r>
    </w:p>
    <w:p w14:paraId="7DC3F52C" w14:textId="77777777" w:rsidR="000874A6" w:rsidRDefault="000874A6" w:rsidP="000874A6">
      <w:pPr>
        <w:jc w:val="both"/>
        <w:rPr>
          <w:rFonts w:eastAsia="Calibri"/>
          <w:i/>
          <w:sz w:val="20"/>
          <w:szCs w:val="20"/>
        </w:rPr>
      </w:pPr>
      <w:r w:rsidRPr="001844D2">
        <w:rPr>
          <w:rFonts w:eastAsia="Calibri"/>
          <w:sz w:val="20"/>
          <w:szCs w:val="20"/>
        </w:rPr>
        <w:t xml:space="preserve">Basis being either </w:t>
      </w:r>
      <w:r w:rsidRPr="001844D2">
        <w:rPr>
          <w:rFonts w:eastAsia="Calibri"/>
          <w:i/>
          <w:sz w:val="20"/>
          <w:szCs w:val="20"/>
        </w:rPr>
        <w:t>informed consent</w:t>
      </w:r>
      <w:r w:rsidRPr="001844D2">
        <w:rPr>
          <w:rFonts w:eastAsia="Calibri"/>
          <w:sz w:val="20"/>
          <w:szCs w:val="20"/>
        </w:rPr>
        <w:t xml:space="preserve"> or </w:t>
      </w:r>
      <w:r w:rsidRPr="001844D2">
        <w:rPr>
          <w:rFonts w:eastAsia="Calibri"/>
          <w:i/>
          <w:sz w:val="20"/>
          <w:szCs w:val="20"/>
        </w:rPr>
        <w:t>legitimate interest (academic research)</w:t>
      </w:r>
    </w:p>
    <w:p w14:paraId="4A4658F3" w14:textId="3FA9035D" w:rsidR="00A66A33" w:rsidRPr="00A66A33" w:rsidRDefault="00A66A33" w:rsidP="00A66A33">
      <w:pPr>
        <w:spacing w:after="200" w:line="276" w:lineRule="auto"/>
        <w:jc w:val="both"/>
        <w:rPr>
          <w:rFonts w:eastAsia="Calibri"/>
          <w:iCs/>
          <w:sz w:val="20"/>
          <w:szCs w:val="20"/>
        </w:rPr>
      </w:pPr>
      <w:r>
        <w:rPr>
          <w:rFonts w:eastAsia="Calibri"/>
          <w:bCs/>
        </w:rPr>
        <w:t xml:space="preserve">- </w:t>
      </w:r>
      <w:r>
        <w:rPr>
          <w:rFonts w:eastAsia="Calibri"/>
          <w:bCs/>
        </w:rPr>
        <w:t>Meta-analysis based on existing academic literature</w:t>
      </w:r>
    </w:p>
    <w:p w14:paraId="61A1948A" w14:textId="77777777" w:rsidR="000874A6" w:rsidRPr="001844D2" w:rsidRDefault="000874A6" w:rsidP="000874A6">
      <w:pPr>
        <w:jc w:val="both"/>
        <w:rPr>
          <w:rFonts w:eastAsia="Calibri"/>
          <w:b/>
        </w:rPr>
      </w:pPr>
    </w:p>
    <w:p w14:paraId="0ECC6035" w14:textId="77777777" w:rsidR="000874A6" w:rsidRDefault="000874A6" w:rsidP="000874A6">
      <w:pPr>
        <w:spacing w:after="200" w:line="276" w:lineRule="auto"/>
        <w:jc w:val="both"/>
        <w:rPr>
          <w:rFonts w:eastAsia="Calibri"/>
          <w:b/>
        </w:rPr>
      </w:pPr>
      <w:r w:rsidRPr="001844D2">
        <w:rPr>
          <w:rFonts w:eastAsia="Calibri"/>
          <w:b/>
        </w:rPr>
        <w:t>7. Individuals involved in data gathering, data manipulation/editing and with access to the data:</w:t>
      </w:r>
    </w:p>
    <w:p w14:paraId="34F7E837" w14:textId="117015B6" w:rsidR="00A66A33" w:rsidRDefault="00A66A33" w:rsidP="000874A6">
      <w:pPr>
        <w:spacing w:after="200" w:line="276" w:lineRule="auto"/>
        <w:jc w:val="both"/>
        <w:rPr>
          <w:rFonts w:eastAsia="Calibri"/>
          <w:bCs/>
        </w:rPr>
      </w:pPr>
      <w:r>
        <w:rPr>
          <w:rFonts w:eastAsia="Calibri"/>
          <w:bCs/>
        </w:rPr>
        <w:t>- Data gathering</w:t>
      </w:r>
      <w:r w:rsidR="00EA722D">
        <w:rPr>
          <w:rFonts w:eastAsia="Calibri"/>
          <w:bCs/>
        </w:rPr>
        <w:t xml:space="preserve"> and coding (using a coding scheme)</w:t>
      </w:r>
      <w:r>
        <w:rPr>
          <w:rFonts w:eastAsia="Calibri"/>
          <w:bCs/>
        </w:rPr>
        <w:t xml:space="preserve"> is supported by </w:t>
      </w:r>
      <w:r w:rsidR="00C15D24">
        <w:rPr>
          <w:rFonts w:eastAsia="Calibri"/>
          <w:bCs/>
        </w:rPr>
        <w:t xml:space="preserve">my research assistants: </w:t>
      </w:r>
      <w:r>
        <w:rPr>
          <w:rFonts w:eastAsia="Calibri"/>
          <w:bCs/>
        </w:rPr>
        <w:t xml:space="preserve">Mariah Blankendal, Victoria Devik and </w:t>
      </w:r>
      <w:r w:rsidR="00673C56">
        <w:rPr>
          <w:rFonts w:eastAsia="Calibri"/>
          <w:bCs/>
        </w:rPr>
        <w:t>Rafal Nowicki</w:t>
      </w:r>
      <w:r>
        <w:rPr>
          <w:rFonts w:eastAsia="Calibri"/>
          <w:bCs/>
        </w:rPr>
        <w:t xml:space="preserve"> </w:t>
      </w:r>
    </w:p>
    <w:p w14:paraId="7F79F869" w14:textId="28FB5F5E" w:rsidR="00EA722D" w:rsidRDefault="00EA722D" w:rsidP="000874A6">
      <w:pPr>
        <w:spacing w:after="200" w:line="276" w:lineRule="auto"/>
        <w:jc w:val="both"/>
        <w:rPr>
          <w:rFonts w:eastAsia="Calibri"/>
          <w:bCs/>
        </w:rPr>
      </w:pPr>
      <w:r>
        <w:rPr>
          <w:rFonts w:eastAsia="Calibri"/>
          <w:bCs/>
        </w:rPr>
        <w:t xml:space="preserve">- Data coding for the second paper is supported by Tatjana Schneidmuller. </w:t>
      </w:r>
    </w:p>
    <w:p w14:paraId="5F1B6E1D" w14:textId="77777777" w:rsidR="00EA722D" w:rsidRPr="00A66A33" w:rsidRDefault="00EA722D" w:rsidP="000874A6">
      <w:pPr>
        <w:spacing w:after="200" w:line="276" w:lineRule="auto"/>
        <w:jc w:val="both"/>
        <w:rPr>
          <w:rFonts w:eastAsia="Calibri"/>
          <w:bCs/>
        </w:rPr>
      </w:pPr>
    </w:p>
    <w:p w14:paraId="51937E36" w14:textId="77777777" w:rsidR="000874A6" w:rsidRPr="001844D2" w:rsidRDefault="000874A6" w:rsidP="000874A6">
      <w:pPr>
        <w:jc w:val="both"/>
        <w:rPr>
          <w:rFonts w:eastAsia="Calibri"/>
          <w:b/>
          <w:sz w:val="20"/>
          <w:szCs w:val="20"/>
        </w:rPr>
      </w:pPr>
      <w:r w:rsidRPr="001844D2">
        <w:rPr>
          <w:rFonts w:eastAsia="Calibri"/>
          <w:b/>
        </w:rPr>
        <w:lastRenderedPageBreak/>
        <w:t>8. Data Protection Impact Assessment</w:t>
      </w:r>
      <w:r w:rsidRPr="001844D2">
        <w:rPr>
          <w:rFonts w:eastAsia="Calibri"/>
          <w:b/>
          <w:sz w:val="20"/>
          <w:szCs w:val="20"/>
        </w:rPr>
        <w:t xml:space="preserve"> </w:t>
      </w:r>
    </w:p>
    <w:p w14:paraId="225DB6DC" w14:textId="77777777" w:rsidR="000874A6" w:rsidRPr="001844D2" w:rsidRDefault="000874A6" w:rsidP="000874A6">
      <w:pPr>
        <w:jc w:val="both"/>
        <w:rPr>
          <w:rFonts w:eastAsia="Calibri"/>
          <w:b/>
          <w:color w:val="FF0000"/>
          <w:sz w:val="20"/>
          <w:szCs w:val="20"/>
        </w:rPr>
      </w:pPr>
      <w:r w:rsidRPr="001844D2">
        <w:rPr>
          <w:sz w:val="20"/>
          <w:szCs w:val="20"/>
        </w:rPr>
        <w:t>required when a processing operation “</w:t>
      </w:r>
      <w:r w:rsidRPr="001844D2">
        <w:rPr>
          <w:i/>
          <w:iCs/>
          <w:sz w:val="20"/>
          <w:szCs w:val="20"/>
        </w:rPr>
        <w:t>is likely to result in a high risk to the rights and freedoms of natural person</w:t>
      </w:r>
      <w:r w:rsidRPr="001844D2">
        <w:rPr>
          <w:sz w:val="20"/>
          <w:szCs w:val="20"/>
        </w:rPr>
        <w:t>”.</w:t>
      </w:r>
      <w:r>
        <w:rPr>
          <w:sz w:val="20"/>
          <w:szCs w:val="20"/>
        </w:rPr>
        <w:t xml:space="preserve"> </w:t>
      </w:r>
    </w:p>
    <w:p w14:paraId="003CD637" w14:textId="77777777" w:rsidR="000874A6" w:rsidRPr="001844D2" w:rsidRDefault="000874A6" w:rsidP="000874A6">
      <w:pPr>
        <w:jc w:val="both"/>
        <w:rPr>
          <w:rFonts w:eastAsia="Calibri"/>
          <w:b/>
          <w:sz w:val="20"/>
          <w:szCs w:val="20"/>
        </w:rPr>
      </w:pPr>
    </w:p>
    <w:p w14:paraId="38F2A99D"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 systematic description of the envisaged processing operations and the purposes of the processing, including where applicable the legitimate interest pursued by the controller; </w:t>
      </w:r>
    </w:p>
    <w:p w14:paraId="5061B744"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an assessment of the necessity and proportionality of the processing operations in relation to the purposes; </w:t>
      </w:r>
    </w:p>
    <w:p w14:paraId="4FC07BA7"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an assessment of the risks to the rights and freedoms of data subjects that are likely to result from the processing (and in particular the origin, nature, particularity and severity of such risks); and </w:t>
      </w:r>
    </w:p>
    <w:p w14:paraId="2654883E"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the measures envisaged to address the risks, including safeguards, security measures and mechanisms to ensure the protection of personal data and demonstrate compliance with the GDPR. </w:t>
      </w:r>
    </w:p>
    <w:p w14:paraId="1CEAF1F3" w14:textId="77777777" w:rsidR="00C15D24" w:rsidRDefault="00C15D24" w:rsidP="000874A6">
      <w:pPr>
        <w:spacing w:after="200" w:line="276" w:lineRule="auto"/>
        <w:jc w:val="both"/>
        <w:rPr>
          <w:rFonts w:eastAsia="Calibri"/>
          <w:bCs/>
        </w:rPr>
      </w:pPr>
    </w:p>
    <w:p w14:paraId="13FB6C72" w14:textId="01906E7A" w:rsidR="000874A6" w:rsidRPr="00C15D24" w:rsidRDefault="000874A6" w:rsidP="000874A6">
      <w:pPr>
        <w:spacing w:after="200" w:line="276" w:lineRule="auto"/>
        <w:jc w:val="both"/>
        <w:rPr>
          <w:rFonts w:eastAsia="Calibri"/>
          <w:bCs/>
        </w:rPr>
      </w:pPr>
      <w:r w:rsidRPr="00C15D24">
        <w:rPr>
          <w:rFonts w:eastAsia="Calibri"/>
          <w:bCs/>
        </w:rPr>
        <w:softHyphen/>
      </w:r>
      <w:r w:rsidR="00EA722D" w:rsidRPr="00C15D24">
        <w:rPr>
          <w:rFonts w:eastAsia="Calibri"/>
          <w:bCs/>
        </w:rPr>
        <w:t>Not applicable</w:t>
      </w:r>
    </w:p>
    <w:p w14:paraId="2F7C148D" w14:textId="77777777" w:rsidR="000874A6" w:rsidRPr="001844D2" w:rsidRDefault="000874A6" w:rsidP="000874A6">
      <w:pPr>
        <w:spacing w:after="200" w:line="276" w:lineRule="auto"/>
        <w:jc w:val="both"/>
        <w:rPr>
          <w:rFonts w:eastAsia="Calibri"/>
          <w:b/>
        </w:rPr>
      </w:pPr>
      <w:r w:rsidRPr="001844D2">
        <w:rPr>
          <w:rFonts w:eastAsia="Calibri"/>
          <w:sz w:val="20"/>
          <w:szCs w:val="20"/>
        </w:rPr>
        <w:t>Practically speaking a DPIA is needed when two or more of the casus below are applicable:</w:t>
      </w:r>
    </w:p>
    <w:p w14:paraId="462D3579"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Assessing people based on personal characteristics</w:t>
      </w:r>
    </w:p>
    <w:p w14:paraId="4F692B0A"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Automated decision making</w:t>
      </w:r>
    </w:p>
    <w:p w14:paraId="10A4EE6F"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Structured and large-scale monitoring</w:t>
      </w:r>
    </w:p>
    <w:p w14:paraId="225BDCF6"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Sensitive personal data</w:t>
      </w:r>
    </w:p>
    <w:p w14:paraId="39388B88"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Large-scale data processing</w:t>
      </w:r>
    </w:p>
    <w:p w14:paraId="494DA2CB"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Linked databases</w:t>
      </w:r>
    </w:p>
    <w:p w14:paraId="426B1D0A"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Data on vulnerable persons</w:t>
      </w:r>
    </w:p>
    <w:p w14:paraId="2245D390"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Use of new technologies</w:t>
      </w:r>
    </w:p>
    <w:p w14:paraId="6BD2075D"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Blocking of (a) right(s), service(s) or contract(s)</w:t>
      </w:r>
    </w:p>
    <w:p w14:paraId="737162A2" w14:textId="77777777" w:rsidR="000874A6" w:rsidRPr="009832C1" w:rsidRDefault="000874A6" w:rsidP="000874A6">
      <w:pPr>
        <w:jc w:val="both"/>
        <w:rPr>
          <w:rFonts w:eastAsia="Calibri"/>
          <w:b/>
          <w:color w:val="000000" w:themeColor="text1"/>
          <w:sz w:val="20"/>
          <w:szCs w:val="20"/>
        </w:rPr>
      </w:pPr>
      <w:r w:rsidRPr="001844D2">
        <w:rPr>
          <w:color w:val="000000" w:themeColor="text1"/>
          <w:sz w:val="20"/>
          <w:szCs w:val="20"/>
        </w:rPr>
        <w:t>When data on genetics and/or health is concerned, a DPIA is mandatory. Please contact the data steward when drafting a DPIA so we can guide you in the process.</w:t>
      </w:r>
    </w:p>
    <w:p w14:paraId="77A49FB9" w14:textId="77777777" w:rsidR="00C15D24" w:rsidRDefault="00EA722D" w:rsidP="00EA722D">
      <w:pPr>
        <w:spacing w:after="200" w:line="276" w:lineRule="auto"/>
        <w:jc w:val="both"/>
        <w:rPr>
          <w:rFonts w:eastAsia="Calibri"/>
          <w:bCs/>
        </w:rPr>
      </w:pPr>
      <w:r w:rsidRPr="00C15D24">
        <w:rPr>
          <w:rFonts w:eastAsia="Calibri"/>
          <w:bCs/>
        </w:rPr>
        <w:softHyphen/>
      </w:r>
    </w:p>
    <w:p w14:paraId="6E6F47C3" w14:textId="14FAE15E" w:rsidR="00EA722D" w:rsidRPr="00C15D24" w:rsidRDefault="00EA722D" w:rsidP="00EA722D">
      <w:pPr>
        <w:spacing w:after="200" w:line="276" w:lineRule="auto"/>
        <w:jc w:val="both"/>
        <w:rPr>
          <w:rFonts w:eastAsia="Calibri"/>
          <w:bCs/>
        </w:rPr>
      </w:pPr>
      <w:r w:rsidRPr="00C15D24">
        <w:rPr>
          <w:rFonts w:eastAsia="Calibri"/>
          <w:bCs/>
        </w:rPr>
        <w:t>Not applicable</w:t>
      </w:r>
    </w:p>
    <w:p w14:paraId="5FE1D7C3" w14:textId="77777777" w:rsidR="000874A6" w:rsidRDefault="000874A6" w:rsidP="000874A6">
      <w:pPr>
        <w:spacing w:after="200" w:line="276" w:lineRule="auto"/>
        <w:jc w:val="both"/>
        <w:rPr>
          <w:rFonts w:eastAsia="Calibri"/>
          <w:b/>
        </w:rPr>
      </w:pPr>
    </w:p>
    <w:p w14:paraId="761F37DE" w14:textId="77777777" w:rsidR="000874A6" w:rsidRDefault="000874A6" w:rsidP="000874A6">
      <w:pPr>
        <w:spacing w:after="200" w:line="276" w:lineRule="auto"/>
        <w:jc w:val="both"/>
        <w:rPr>
          <w:b/>
        </w:rPr>
      </w:pPr>
      <w:r w:rsidRPr="001844D2">
        <w:rPr>
          <w:rFonts w:eastAsia="Calibri"/>
          <w:b/>
        </w:rPr>
        <w:t xml:space="preserve">9. Data editing/manipulation steps (e.g. </w:t>
      </w:r>
      <w:r w:rsidRPr="001844D2">
        <w:rPr>
          <w:b/>
        </w:rPr>
        <w:t>SPSS Syntax files, R scripts).</w:t>
      </w:r>
    </w:p>
    <w:p w14:paraId="102F9394" w14:textId="4EB7DA41" w:rsidR="00EA722D" w:rsidRPr="00EA722D" w:rsidRDefault="00EA722D" w:rsidP="000874A6">
      <w:pPr>
        <w:spacing w:after="200" w:line="276" w:lineRule="auto"/>
        <w:jc w:val="both"/>
        <w:rPr>
          <w:rFonts w:eastAsia="Calibri"/>
          <w:bCs/>
        </w:rPr>
      </w:pPr>
      <w:r>
        <w:rPr>
          <w:bCs/>
        </w:rPr>
        <w:t>See attached.</w:t>
      </w:r>
    </w:p>
    <w:p w14:paraId="26AF2C4C" w14:textId="77777777" w:rsidR="000874A6" w:rsidRDefault="000874A6" w:rsidP="000874A6">
      <w:pPr>
        <w:spacing w:after="200" w:line="276" w:lineRule="auto"/>
        <w:jc w:val="both"/>
        <w:rPr>
          <w:rFonts w:eastAsia="Calibri"/>
          <w:b/>
        </w:rPr>
      </w:pPr>
      <w:r w:rsidRPr="001844D2">
        <w:rPr>
          <w:rFonts w:eastAsia="Calibri"/>
          <w:b/>
        </w:rPr>
        <w:t>10. Where and how will the data be stored (including temporary storage for research use) and security measures applied:</w:t>
      </w:r>
    </w:p>
    <w:p w14:paraId="7B544C77" w14:textId="47CE8E9D" w:rsidR="00EA722D" w:rsidRDefault="00C45DFD" w:rsidP="000874A6">
      <w:pPr>
        <w:spacing w:after="200" w:line="276" w:lineRule="auto"/>
        <w:jc w:val="both"/>
        <w:rPr>
          <w:rFonts w:eastAsia="Calibri"/>
          <w:bCs/>
        </w:rPr>
      </w:pPr>
      <w:r>
        <w:rPr>
          <w:rFonts w:eastAsia="Calibri"/>
          <w:bCs/>
        </w:rPr>
        <w:t xml:space="preserve">I changed jobs end of February 2021. </w:t>
      </w:r>
      <w:r w:rsidR="00EA722D">
        <w:rPr>
          <w:rFonts w:eastAsia="Calibri"/>
          <w:bCs/>
        </w:rPr>
        <w:t xml:space="preserve">The data was stored on a hard drive on March 2021. </w:t>
      </w:r>
    </w:p>
    <w:p w14:paraId="5218BB18" w14:textId="77777777" w:rsidR="00EA722D" w:rsidRPr="00EA722D" w:rsidRDefault="00EA722D" w:rsidP="000874A6">
      <w:pPr>
        <w:spacing w:after="200" w:line="276" w:lineRule="auto"/>
        <w:jc w:val="both"/>
        <w:rPr>
          <w:rFonts w:eastAsia="Calibri"/>
          <w:bCs/>
        </w:rPr>
      </w:pPr>
    </w:p>
    <w:p w14:paraId="294321C6" w14:textId="77777777" w:rsidR="000874A6" w:rsidRDefault="000874A6" w:rsidP="000874A6">
      <w:pPr>
        <w:spacing w:after="200" w:line="276" w:lineRule="auto"/>
        <w:jc w:val="both"/>
        <w:rPr>
          <w:rFonts w:eastAsia="Calibri"/>
        </w:rPr>
      </w:pPr>
      <w:r w:rsidRPr="001844D2">
        <w:rPr>
          <w:rFonts w:eastAsia="Calibri"/>
          <w:b/>
        </w:rPr>
        <w:t xml:space="preserve">11. Approval EBEC (Economics &amp; Business Ethics Committee) obtained: </w:t>
      </w:r>
      <w:r w:rsidRPr="001844D2">
        <w:rPr>
          <w:rFonts w:eastAsia="Calibri"/>
        </w:rPr>
        <w:t>approval yes/no</w:t>
      </w:r>
    </w:p>
    <w:p w14:paraId="2127B298" w14:textId="348BB863" w:rsidR="00EA722D" w:rsidRPr="001844D2" w:rsidRDefault="00EA722D" w:rsidP="000874A6">
      <w:pPr>
        <w:spacing w:after="200" w:line="276" w:lineRule="auto"/>
        <w:jc w:val="both"/>
        <w:rPr>
          <w:rFonts w:eastAsia="Calibri"/>
        </w:rPr>
      </w:pPr>
      <w:r>
        <w:rPr>
          <w:rFonts w:eastAsia="Calibri"/>
        </w:rPr>
        <w:t xml:space="preserve">I cannot ask online for approval because I do not have a UvA account anymore. </w:t>
      </w:r>
    </w:p>
    <w:p w14:paraId="0F736B52" w14:textId="77777777" w:rsidR="000874A6" w:rsidRDefault="000874A6" w:rsidP="000874A6">
      <w:pPr>
        <w:spacing w:after="200" w:line="276" w:lineRule="auto"/>
        <w:jc w:val="both"/>
        <w:rPr>
          <w:rFonts w:eastAsia="Times New Roman"/>
          <w:b/>
          <w:color w:val="000000" w:themeColor="text1"/>
        </w:rPr>
      </w:pPr>
      <w:r w:rsidRPr="001844D2">
        <w:rPr>
          <w:rStyle w:val="Strong"/>
          <w:rFonts w:eastAsia="Times New Roman"/>
          <w:color w:val="000000" w:themeColor="text1"/>
        </w:rPr>
        <w:t>12. Intellectual property, copyright and ownership</w:t>
      </w:r>
      <w:r w:rsidRPr="001844D2">
        <w:rPr>
          <w:rFonts w:eastAsia="Times New Roman"/>
          <w:color w:val="000000" w:themeColor="text1"/>
        </w:rPr>
        <w:t xml:space="preserve"> </w:t>
      </w:r>
      <w:r w:rsidRPr="001844D2">
        <w:rPr>
          <w:rFonts w:eastAsia="Times New Roman"/>
          <w:b/>
          <w:color w:val="000000" w:themeColor="text1"/>
        </w:rPr>
        <w:t>of the data:</w:t>
      </w:r>
    </w:p>
    <w:p w14:paraId="5BBAE49D" w14:textId="2A0184B6" w:rsidR="00EA722D" w:rsidRPr="00EA722D" w:rsidRDefault="00EA722D" w:rsidP="000874A6">
      <w:pPr>
        <w:spacing w:after="200" w:line="276" w:lineRule="auto"/>
        <w:jc w:val="both"/>
        <w:rPr>
          <w:rFonts w:eastAsia="Times New Roman"/>
          <w:bCs/>
          <w:color w:val="000000" w:themeColor="text1"/>
        </w:rPr>
      </w:pPr>
      <w:r>
        <w:rPr>
          <w:rFonts w:eastAsia="Times New Roman"/>
          <w:bCs/>
          <w:color w:val="000000" w:themeColor="text1"/>
        </w:rPr>
        <w:t>All public data.</w:t>
      </w:r>
    </w:p>
    <w:p w14:paraId="59E8D9B7" w14:textId="77777777" w:rsidR="000874A6" w:rsidRPr="001844D2" w:rsidRDefault="000874A6" w:rsidP="000874A6">
      <w:pPr>
        <w:spacing w:after="200" w:line="276" w:lineRule="auto"/>
        <w:jc w:val="both"/>
        <w:rPr>
          <w:rFonts w:eastAsia="Calibri"/>
        </w:rPr>
      </w:pPr>
      <w:r w:rsidRPr="001844D2">
        <w:rPr>
          <w:rFonts w:eastAsia="Times New Roman"/>
          <w:b/>
          <w:bCs/>
          <w:noProof/>
          <w:color w:val="000000" w:themeColor="text1"/>
        </w:rPr>
        <w:lastRenderedPageBreak/>
        <mc:AlternateContent>
          <mc:Choice Requires="wps">
            <w:drawing>
              <wp:anchor distT="0" distB="0" distL="114300" distR="114300" simplePos="0" relativeHeight="251659264" behindDoc="0" locked="0" layoutInCell="1" allowOverlap="1" wp14:anchorId="4FB80209" wp14:editId="6132E3AA">
                <wp:simplePos x="0" y="0"/>
                <wp:positionH relativeFrom="column">
                  <wp:posOffset>-412115</wp:posOffset>
                </wp:positionH>
                <wp:positionV relativeFrom="paragraph">
                  <wp:posOffset>385445</wp:posOffset>
                </wp:positionV>
                <wp:extent cx="228600" cy="228600"/>
                <wp:effectExtent l="25400" t="25400" r="25400" b="25400"/>
                <wp:wrapThrough wrapText="bothSides">
                  <wp:wrapPolygon edited="0">
                    <wp:start x="-2400" y="-2400"/>
                    <wp:lineTo x="-2400" y="21600"/>
                    <wp:lineTo x="21600" y="21600"/>
                    <wp:lineTo x="21600" y="-2400"/>
                    <wp:lineTo x="-2400" y="-240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8100">
                          <a:solidFill>
                            <a:srgbClr val="BEB51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DAF3E" id="Rectangle 5" o:spid="_x0000_s1026" style="position:absolute;margin-left:-32.45pt;margin-top:30.3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" filled="f" strokecolor="#beb511" strokeweight="3pt">
                <w10:wrap type="through"/>
              </v:rect>
            </w:pict>
          </mc:Fallback>
        </mc:AlternateContent>
      </w:r>
    </w:p>
    <w:p w14:paraId="54F532C5" w14:textId="77777777" w:rsidR="000874A6" w:rsidRPr="001844D2" w:rsidRDefault="000874A6" w:rsidP="000874A6">
      <w:pPr>
        <w:spacing w:after="200" w:line="276" w:lineRule="auto"/>
        <w:jc w:val="both"/>
        <w:rPr>
          <w:rFonts w:eastAsia="Calibri"/>
        </w:rPr>
      </w:pPr>
      <w:r w:rsidRPr="001844D2">
        <w:rPr>
          <w:rFonts w:eastAsia="Calibri"/>
        </w:rPr>
        <w:t>The researcher [name] hereby states that the data will be stored will be in line with the UvA</w:t>
      </w:r>
      <w:r>
        <w:rPr>
          <w:rFonts w:eastAsia="Calibri"/>
        </w:rPr>
        <w:t xml:space="preserve"> </w:t>
      </w:r>
      <w:r w:rsidRPr="001844D2">
        <w:rPr>
          <w:rFonts w:eastAsia="Calibri"/>
        </w:rPr>
        <w:t xml:space="preserve">guidelines and </w:t>
      </w:r>
      <w:r>
        <w:rPr>
          <w:rFonts w:eastAsia="Calibri"/>
        </w:rPr>
        <w:t>UvA EB</w:t>
      </w:r>
      <w:r w:rsidRPr="001844D2">
        <w:rPr>
          <w:rFonts w:eastAsia="Calibri"/>
        </w:rPr>
        <w:t xml:space="preserve"> protocol on RDM.</w:t>
      </w:r>
    </w:p>
    <w:p w14:paraId="48EB679E" w14:textId="15AFC489" w:rsidR="002873AA" w:rsidRDefault="002873AA" w:rsidP="000874A6">
      <w:pPr>
        <w:spacing w:after="160" w:line="259" w:lineRule="auto"/>
      </w:pPr>
    </w:p>
    <w:sectPr w:rsidR="0028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8D"/>
    <w:multiLevelType w:val="hybridMultilevel"/>
    <w:tmpl w:val="585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456D"/>
    <w:multiLevelType w:val="multilevel"/>
    <w:tmpl w:val="E04EA496"/>
    <w:styleLink w:val="UvAbullets"/>
    <w:lvl w:ilvl="0">
      <w:start w:val="1"/>
      <w:numFmt w:val="bullet"/>
      <w:pStyle w:val="ListParagraph"/>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4" w:hanging="284"/>
      </w:pPr>
      <w:rPr>
        <w:rFonts w:ascii="Times New Roman" w:hAnsi="Times New Roman" w:cs="Times New Roman" w:hint="default"/>
        <w:color w:val="auto"/>
      </w:rPr>
    </w:lvl>
    <w:lvl w:ilvl="6">
      <w:start w:val="1"/>
      <w:numFmt w:val="bullet"/>
      <w:lvlText w:val="•"/>
      <w:lvlJc w:val="left"/>
      <w:pPr>
        <w:ind w:left="1988" w:hanging="284"/>
      </w:pPr>
      <w:rPr>
        <w:rFonts w:ascii="Times New Roman" w:hAnsi="Times New Roman" w:cs="Times New Roman" w:hint="default"/>
        <w:color w:val="auto"/>
      </w:rPr>
    </w:lvl>
    <w:lvl w:ilvl="7">
      <w:start w:val="1"/>
      <w:numFmt w:val="bullet"/>
      <w:lvlText w:val="•"/>
      <w:lvlJc w:val="left"/>
      <w:pPr>
        <w:ind w:left="2272" w:hanging="284"/>
      </w:pPr>
      <w:rPr>
        <w:rFonts w:ascii="Times New Roman" w:hAnsi="Times New Roman" w:cs="Times New Roman" w:hint="default"/>
        <w:color w:val="auto"/>
      </w:rPr>
    </w:lvl>
    <w:lvl w:ilvl="8">
      <w:start w:val="1"/>
      <w:numFmt w:val="bullet"/>
      <w:lvlText w:val="•"/>
      <w:lvlJc w:val="left"/>
      <w:pPr>
        <w:ind w:left="2556" w:hanging="284"/>
      </w:pPr>
      <w:rPr>
        <w:rFonts w:ascii="Times New Roman" w:hAnsi="Times New Roman" w:cs="Times New Roman" w:hint="default"/>
        <w:color w:val="auto"/>
      </w:rPr>
    </w:lvl>
  </w:abstractNum>
  <w:abstractNum w:abstractNumId="2" w15:restartNumberingAfterBreak="0">
    <w:nsid w:val="48163CD1"/>
    <w:multiLevelType w:val="multilevel"/>
    <w:tmpl w:val="E04EA496"/>
    <w:numStyleLink w:val="UvAbullets"/>
  </w:abstractNum>
  <w:num w:numId="1" w16cid:durableId="2014645271">
    <w:abstractNumId w:val="1"/>
  </w:num>
  <w:num w:numId="2" w16cid:durableId="319120175">
    <w:abstractNumId w:val="2"/>
  </w:num>
  <w:num w:numId="3" w16cid:durableId="45425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MDY0MDOyMLe0NDBT0lEKTi0uzszPAykwrAUAqyxigSwAAAA="/>
  </w:docVars>
  <w:rsids>
    <w:rsidRoot w:val="000874A6"/>
    <w:rsid w:val="000874A6"/>
    <w:rsid w:val="002873AA"/>
    <w:rsid w:val="00673C56"/>
    <w:rsid w:val="00A53222"/>
    <w:rsid w:val="00A55A7E"/>
    <w:rsid w:val="00A66A33"/>
    <w:rsid w:val="00C15D24"/>
    <w:rsid w:val="00C45DFD"/>
    <w:rsid w:val="00C76E6D"/>
    <w:rsid w:val="00EA7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B54D"/>
  <w15:chartTrackingRefBased/>
  <w15:docId w15:val="{F3C29287-1F90-452B-A3E5-5EC142A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A6"/>
    <w:pPr>
      <w:spacing w:after="0" w:line="240" w:lineRule="auto"/>
    </w:pPr>
    <w:rPr>
      <w:rFonts w:ascii="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vAbullets">
    <w:name w:val="UvA bullets"/>
    <w:uiPriority w:val="99"/>
    <w:rsid w:val="000874A6"/>
    <w:pPr>
      <w:numPr>
        <w:numId w:val="1"/>
      </w:numPr>
    </w:pPr>
  </w:style>
  <w:style w:type="paragraph" w:styleId="ListParagraph">
    <w:name w:val="List Paragraph"/>
    <w:basedOn w:val="Normal"/>
    <w:uiPriority w:val="34"/>
    <w:qFormat/>
    <w:rsid w:val="000874A6"/>
    <w:pPr>
      <w:numPr>
        <w:numId w:val="2"/>
      </w:numPr>
      <w:contextualSpacing/>
    </w:pPr>
  </w:style>
  <w:style w:type="character" w:styleId="Strong">
    <w:name w:val="Strong"/>
    <w:basedOn w:val="DefaultParagraphFont"/>
    <w:uiPriority w:val="22"/>
    <w:qFormat/>
    <w:rsid w:val="000874A6"/>
    <w:rPr>
      <w:b/>
      <w:bCs/>
    </w:rPr>
  </w:style>
  <w:style w:type="paragraph" w:styleId="NormalWeb">
    <w:name w:val="Normal (Web)"/>
    <w:basedOn w:val="Normal"/>
    <w:uiPriority w:val="99"/>
    <w:semiHidden/>
    <w:unhideWhenUsed/>
    <w:rsid w:val="000874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1E58390F3E24FB541E699017F523E" ma:contentTypeVersion="14" ma:contentTypeDescription="Create a new document." ma:contentTypeScope="" ma:versionID="f511949e8feecedfefc4c36ff02808c6">
  <xsd:schema xmlns:xsd="http://www.w3.org/2001/XMLSchema" xmlns:xs="http://www.w3.org/2001/XMLSchema" xmlns:p="http://schemas.microsoft.com/office/2006/metadata/properties" xmlns:ns2="59f9194d-5ceb-4b3f-bb89-02f29b0a75ac" xmlns:ns3="990b589a-0042-44ea-bd58-d6c1d9d0e8bd" targetNamespace="http://schemas.microsoft.com/office/2006/metadata/properties" ma:root="true" ma:fieldsID="ed3cb5dabccfc2141b9fa07ab479267c" ns2:_="" ns3:_="">
    <xsd:import namespace="59f9194d-5ceb-4b3f-bb89-02f29b0a75ac"/>
    <xsd:import namespace="990b589a-0042-44ea-bd58-d6c1d9d0e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9194d-5ceb-4b3f-bb89-02f29b0a7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b589a-0042-44ea-bd58-d6c1d9d0e8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7d99c27-eef4-4a5a-8d7a-07f76b594fc3}" ma:internalName="TaxCatchAll" ma:showField="CatchAllData" ma:web="990b589a-0042-44ea-bd58-d6c1d9d0e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0b589a-0042-44ea-bd58-d6c1d9d0e8bd" xsi:nil="true"/>
    <lcf76f155ced4ddcb4097134ff3c332f xmlns="59f9194d-5ceb-4b3f-bb89-02f29b0a7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886D0-52CA-4417-A44C-A9ECAA9A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9194d-5ceb-4b3f-bb89-02f29b0a75ac"/>
    <ds:schemaRef ds:uri="990b589a-0042-44ea-bd58-d6c1d9d0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D2075-80CC-4723-966A-1ADAA1C56E02}">
  <ds:schemaRefs>
    <ds:schemaRef ds:uri="http://schemas.microsoft.com/sharepoint/v3/contenttype/forms"/>
  </ds:schemaRefs>
</ds:datastoreItem>
</file>

<file path=customXml/itemProps3.xml><?xml version="1.0" encoding="utf-8"?>
<ds:datastoreItem xmlns:ds="http://schemas.openxmlformats.org/officeDocument/2006/customXml" ds:itemID="{949580A2-C57A-4CCC-B697-C6EB851A0029}">
  <ds:schemaRefs>
    <ds:schemaRef ds:uri="http://schemas.microsoft.com/office/2006/metadata/properties"/>
    <ds:schemaRef ds:uri="http://schemas.microsoft.com/office/infopath/2007/PartnerControls"/>
    <ds:schemaRef ds:uri="990b589a-0042-44ea-bd58-d6c1d9d0e8bd"/>
    <ds:schemaRef ds:uri="59f9194d-5ceb-4b3f-bb89-02f29b0a75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Koks</dc:creator>
  <cp:keywords/>
  <dc:description/>
  <cp:lastModifiedBy>Lance Cosaert</cp:lastModifiedBy>
  <cp:revision>6</cp:revision>
  <dcterms:created xsi:type="dcterms:W3CDTF">2023-05-10T14:40:00Z</dcterms:created>
  <dcterms:modified xsi:type="dcterms:W3CDTF">2023-05-22T06:18:00Z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0x010100B891E58390F3E24FB541E699017F523E</vt:lpwstr>
  </property>
  <property fmtid="{D5CDD505-2E9C-101B-9397-08002B2CF9AE}" pid="3" name="GrammarlyDocumentId">
    <vt:lpwstr>25caafd594b55825d5c0163cad7fbfca55c53a33731a2b9f600864840a0f171d</vt:lpwstr>
  </property>
</Properties>
</file>