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F6F665" w14:textId="77777777" w:rsidR="000874A6" w:rsidRPr="001844D2" w:rsidRDefault="000874A6" w:rsidP="000874A6">
      <w:pPr>
        <w:rPr>
          <w:rFonts w:eastAsia="Times New Roman"/>
          <w:bCs/>
          <w:color w:val="BEB511"/>
          <w:sz w:val="32"/>
          <w:szCs w:val="32"/>
        </w:rPr>
      </w:pPr>
      <w:r w:rsidRPr="001844D2">
        <w:rPr>
          <w:rFonts w:eastAsia="Times New Roman"/>
          <w:bCs/>
          <w:color w:val="BEB511"/>
          <w:sz w:val="32"/>
          <w:szCs w:val="32"/>
        </w:rPr>
        <w:t xml:space="preserve">3: RDMP template </w:t>
      </w:r>
    </w:p>
    <w:p w14:paraId="2D5760C0" w14:textId="77777777" w:rsidR="000874A6" w:rsidRPr="001844D2" w:rsidRDefault="000874A6" w:rsidP="000874A6">
      <w:pPr>
        <w:rPr>
          <w:sz w:val="20"/>
          <w:szCs w:val="20"/>
        </w:rPr>
      </w:pPr>
      <w:r>
        <w:rPr>
          <w:sz w:val="20"/>
          <w:szCs w:val="20"/>
        </w:rPr>
        <w:t>A</w:t>
      </w:r>
      <w:r w:rsidRPr="001844D2">
        <w:rPr>
          <w:sz w:val="20"/>
          <w:szCs w:val="20"/>
        </w:rPr>
        <w:t>fter completing the EBEC approval online, a first draft RDMP is generated automatically</w:t>
      </w:r>
    </w:p>
    <w:p w14:paraId="0C277A59" w14:textId="77777777" w:rsidR="000874A6" w:rsidRPr="001844D2" w:rsidRDefault="000874A6" w:rsidP="000874A6"/>
    <w:p w14:paraId="618D5E94" w14:textId="7FC62A49" w:rsidR="000874A6" w:rsidRPr="001844D2" w:rsidRDefault="000874A6" w:rsidP="000874A6">
      <w:pPr>
        <w:spacing w:after="200" w:line="276" w:lineRule="auto"/>
        <w:jc w:val="both"/>
        <w:rPr>
          <w:rFonts w:eastAsia="Calibri"/>
          <w:b/>
        </w:rPr>
      </w:pPr>
      <w:r w:rsidRPr="001844D2">
        <w:rPr>
          <w:rFonts w:eastAsia="Calibri"/>
          <w:b/>
        </w:rPr>
        <w:t>1. Project name:</w:t>
      </w:r>
      <w:r w:rsidR="00CF0A56">
        <w:rPr>
          <w:rFonts w:eastAsia="Calibri"/>
          <w:b/>
        </w:rPr>
        <w:t xml:space="preserve"> </w:t>
      </w:r>
      <w:r w:rsidR="009378A5">
        <w:rPr>
          <w:rFonts w:eastAsia="Calibri"/>
          <w:b/>
        </w:rPr>
        <w:t>Initial</w:t>
      </w:r>
      <w:r w:rsidR="00F4630A">
        <w:rPr>
          <w:rFonts w:eastAsia="Calibri"/>
          <w:b/>
        </w:rPr>
        <w:t xml:space="preserve"> </w:t>
      </w:r>
      <w:r w:rsidR="009378A5">
        <w:rPr>
          <w:rFonts w:eastAsia="Calibri"/>
          <w:b/>
        </w:rPr>
        <w:t>Deposit</w:t>
      </w:r>
    </w:p>
    <w:p w14:paraId="07724117" w14:textId="5959606E" w:rsidR="000874A6" w:rsidRPr="001844D2" w:rsidRDefault="000874A6" w:rsidP="000874A6">
      <w:pPr>
        <w:spacing w:after="200" w:line="276" w:lineRule="auto"/>
        <w:jc w:val="both"/>
        <w:rPr>
          <w:rFonts w:eastAsia="Calibri"/>
          <w:b/>
        </w:rPr>
      </w:pPr>
      <w:r w:rsidRPr="001844D2">
        <w:rPr>
          <w:rFonts w:eastAsia="Calibri"/>
          <w:b/>
        </w:rPr>
        <w:t>2. Lead researcher:</w:t>
      </w:r>
      <w:r w:rsidR="00CF0A56">
        <w:rPr>
          <w:rFonts w:eastAsia="Calibri"/>
          <w:b/>
        </w:rPr>
        <w:t xml:space="preserve"> Johan de Jong</w:t>
      </w:r>
    </w:p>
    <w:p w14:paraId="4537C35B" w14:textId="410C1149" w:rsidR="000874A6" w:rsidRPr="001844D2" w:rsidRDefault="000874A6" w:rsidP="000874A6">
      <w:pPr>
        <w:spacing w:after="200" w:line="276" w:lineRule="auto"/>
        <w:jc w:val="both"/>
        <w:rPr>
          <w:rFonts w:eastAsia="Calibri"/>
          <w:b/>
        </w:rPr>
      </w:pPr>
      <w:r w:rsidRPr="001844D2">
        <w:rPr>
          <w:rFonts w:eastAsia="Calibri"/>
          <w:b/>
        </w:rPr>
        <w:t>3. Data steward:</w:t>
      </w:r>
      <w:r w:rsidR="00CF0A56">
        <w:rPr>
          <w:rFonts w:eastAsia="Calibri"/>
          <w:b/>
        </w:rPr>
        <w:t xml:space="preserve"> Not present at start of project, currently T. Gales (not consulted)</w:t>
      </w:r>
    </w:p>
    <w:p w14:paraId="074E5626" w14:textId="26D0E291" w:rsidR="000874A6" w:rsidRPr="001844D2" w:rsidRDefault="000874A6" w:rsidP="000874A6">
      <w:pPr>
        <w:spacing w:after="200" w:line="276" w:lineRule="auto"/>
        <w:jc w:val="both"/>
        <w:rPr>
          <w:rFonts w:eastAsia="Calibri"/>
          <w:b/>
        </w:rPr>
      </w:pPr>
      <w:r w:rsidRPr="001844D2">
        <w:rPr>
          <w:rFonts w:eastAsia="Calibri"/>
          <w:b/>
        </w:rPr>
        <w:t>4. Research question(s):</w:t>
      </w:r>
      <w:r w:rsidR="00CF0A56">
        <w:rPr>
          <w:rFonts w:eastAsia="Calibri"/>
          <w:b/>
        </w:rPr>
        <w:t xml:space="preserve"> </w:t>
      </w:r>
      <w:r w:rsidR="009378A5">
        <w:rPr>
          <w:rFonts w:eastAsia="Calibri"/>
          <w:b/>
        </w:rPr>
        <w:t>How does the initial deposit decision influence the propensity to withdraw money in a potential bank run scenario?</w:t>
      </w:r>
    </w:p>
    <w:p w14:paraId="634BAC58" w14:textId="6B9400C4" w:rsidR="000874A6" w:rsidRPr="001844D2" w:rsidRDefault="000874A6" w:rsidP="000874A6">
      <w:pPr>
        <w:spacing w:after="200" w:line="276" w:lineRule="auto"/>
        <w:jc w:val="both"/>
        <w:rPr>
          <w:rFonts w:eastAsia="Calibri"/>
          <w:b/>
        </w:rPr>
      </w:pPr>
      <w:r w:rsidRPr="001844D2">
        <w:rPr>
          <w:rFonts w:eastAsia="Calibri"/>
          <w:b/>
        </w:rPr>
        <w:t>5. Data to be gathered (including location):</w:t>
      </w:r>
      <w:r w:rsidR="00CF0A56">
        <w:rPr>
          <w:rFonts w:eastAsia="Calibri"/>
          <w:b/>
        </w:rPr>
        <w:t xml:space="preserve"> </w:t>
      </w:r>
      <w:r w:rsidR="000E3E74">
        <w:rPr>
          <w:rFonts w:eastAsia="Calibri"/>
          <w:b/>
        </w:rPr>
        <w:t xml:space="preserve">bank choice and withdraw decisions in several bank choice games </w:t>
      </w:r>
      <w:r w:rsidR="00265CFB">
        <w:rPr>
          <w:rFonts w:eastAsia="Calibri"/>
          <w:b/>
        </w:rPr>
        <w:t xml:space="preserve">followed by </w:t>
      </w:r>
      <w:r w:rsidR="00265CFB">
        <w:rPr>
          <w:rFonts w:eastAsia="Calibri"/>
          <w:b/>
        </w:rPr>
        <w:t xml:space="preserve">two risk </w:t>
      </w:r>
      <w:r w:rsidR="00265CFB">
        <w:rPr>
          <w:rFonts w:eastAsia="Calibri"/>
          <w:b/>
        </w:rPr>
        <w:t>aversion task</w:t>
      </w:r>
      <w:r w:rsidR="00265CFB">
        <w:rPr>
          <w:rFonts w:eastAsia="Calibri"/>
          <w:b/>
        </w:rPr>
        <w:t xml:space="preserve">s and a number guessing game </w:t>
      </w:r>
      <w:r w:rsidR="000E3E74">
        <w:rPr>
          <w:rFonts w:eastAsia="Calibri"/>
          <w:b/>
        </w:rPr>
        <w:t xml:space="preserve">(12 sessions, 237 participants in total), </w:t>
      </w:r>
      <w:r w:rsidR="00CF0A56">
        <w:rPr>
          <w:rFonts w:eastAsia="Calibri"/>
          <w:b/>
        </w:rPr>
        <w:t xml:space="preserve">all with participants from the CREED lab subject pool and run in the CREED lab at the </w:t>
      </w:r>
      <w:proofErr w:type="spellStart"/>
      <w:r w:rsidR="00CF0A56">
        <w:rPr>
          <w:rFonts w:eastAsia="Calibri"/>
          <w:b/>
        </w:rPr>
        <w:t>UvA</w:t>
      </w:r>
      <w:proofErr w:type="spellEnd"/>
    </w:p>
    <w:p w14:paraId="691FA32D" w14:textId="4D547766" w:rsidR="000874A6" w:rsidRPr="001844D2" w:rsidRDefault="000874A6" w:rsidP="000874A6">
      <w:pPr>
        <w:jc w:val="both"/>
        <w:rPr>
          <w:rFonts w:eastAsia="Calibri"/>
          <w:b/>
        </w:rPr>
      </w:pPr>
      <w:r w:rsidRPr="001844D2">
        <w:rPr>
          <w:rFonts w:eastAsia="Calibri"/>
          <w:b/>
        </w:rPr>
        <w:t>6. Method of data collection (in case of personal data indicate the basis (</w:t>
      </w:r>
      <w:proofErr w:type="spellStart"/>
      <w:r w:rsidRPr="001844D2">
        <w:rPr>
          <w:rFonts w:eastAsia="Calibri"/>
          <w:b/>
          <w:i/>
        </w:rPr>
        <w:t>grondslag</w:t>
      </w:r>
      <w:proofErr w:type="spellEnd"/>
      <w:r w:rsidRPr="001844D2">
        <w:rPr>
          <w:rFonts w:eastAsia="Calibri"/>
          <w:b/>
        </w:rPr>
        <w:t xml:space="preserve">)): </w:t>
      </w:r>
      <w:r w:rsidR="00CF0A56">
        <w:rPr>
          <w:rFonts w:eastAsia="Calibri"/>
          <w:b/>
        </w:rPr>
        <w:t>lab experiment (raw data is already anonymized)</w:t>
      </w:r>
    </w:p>
    <w:p w14:paraId="7DC3F52C" w14:textId="77777777" w:rsidR="000874A6" w:rsidRPr="001844D2" w:rsidRDefault="000874A6" w:rsidP="000874A6">
      <w:pPr>
        <w:jc w:val="both"/>
        <w:rPr>
          <w:rFonts w:eastAsia="Calibri"/>
          <w:sz w:val="20"/>
          <w:szCs w:val="20"/>
        </w:rPr>
      </w:pPr>
      <w:r w:rsidRPr="001844D2">
        <w:rPr>
          <w:rFonts w:eastAsia="Calibri"/>
          <w:sz w:val="20"/>
          <w:szCs w:val="20"/>
        </w:rPr>
        <w:t xml:space="preserve">Basis being either </w:t>
      </w:r>
      <w:r w:rsidRPr="001844D2">
        <w:rPr>
          <w:rFonts w:eastAsia="Calibri"/>
          <w:i/>
          <w:sz w:val="20"/>
          <w:szCs w:val="20"/>
        </w:rPr>
        <w:t>informed consent</w:t>
      </w:r>
      <w:r w:rsidRPr="001844D2">
        <w:rPr>
          <w:rFonts w:eastAsia="Calibri"/>
          <w:sz w:val="20"/>
          <w:szCs w:val="20"/>
        </w:rPr>
        <w:t xml:space="preserve"> or </w:t>
      </w:r>
      <w:r w:rsidRPr="001844D2">
        <w:rPr>
          <w:rFonts w:eastAsia="Calibri"/>
          <w:i/>
          <w:sz w:val="20"/>
          <w:szCs w:val="20"/>
        </w:rPr>
        <w:t>legitimate interest (academic research)</w:t>
      </w:r>
    </w:p>
    <w:p w14:paraId="61A1948A" w14:textId="77777777" w:rsidR="000874A6" w:rsidRPr="001844D2" w:rsidRDefault="000874A6" w:rsidP="000874A6">
      <w:pPr>
        <w:jc w:val="both"/>
        <w:rPr>
          <w:rFonts w:eastAsia="Calibri"/>
          <w:b/>
        </w:rPr>
      </w:pPr>
    </w:p>
    <w:p w14:paraId="0ECC6035" w14:textId="3690AE11" w:rsidR="000874A6" w:rsidRPr="001844D2" w:rsidRDefault="000874A6" w:rsidP="000874A6">
      <w:pPr>
        <w:spacing w:after="200" w:line="276" w:lineRule="auto"/>
        <w:jc w:val="both"/>
        <w:rPr>
          <w:rFonts w:eastAsia="Calibri"/>
          <w:b/>
        </w:rPr>
      </w:pPr>
      <w:r w:rsidRPr="001844D2">
        <w:rPr>
          <w:rFonts w:eastAsia="Calibri"/>
          <w:b/>
        </w:rPr>
        <w:t>7. Individuals involved in data gathering, data manipulation/editing and with access to the data:</w:t>
      </w:r>
      <w:r w:rsidR="00CF0A56">
        <w:rPr>
          <w:rFonts w:eastAsia="Calibri"/>
          <w:b/>
        </w:rPr>
        <w:t xml:space="preserve"> Johan de Jong</w:t>
      </w:r>
    </w:p>
    <w:p w14:paraId="51937E36" w14:textId="72FF31D1" w:rsidR="000874A6" w:rsidRPr="001844D2" w:rsidRDefault="000874A6" w:rsidP="000874A6">
      <w:pPr>
        <w:jc w:val="both"/>
        <w:rPr>
          <w:rFonts w:eastAsia="Calibri"/>
          <w:b/>
          <w:sz w:val="20"/>
          <w:szCs w:val="20"/>
        </w:rPr>
      </w:pPr>
      <w:r w:rsidRPr="001844D2">
        <w:rPr>
          <w:rFonts w:eastAsia="Calibri"/>
          <w:b/>
        </w:rPr>
        <w:t xml:space="preserve">8. Data </w:t>
      </w:r>
      <w:r w:rsidRPr="00CF0A56">
        <w:rPr>
          <w:rFonts w:eastAsia="Calibri"/>
          <w:b/>
        </w:rPr>
        <w:t xml:space="preserve">Protection Impact </w:t>
      </w:r>
      <w:proofErr w:type="gramStart"/>
      <w:r w:rsidRPr="00CF0A56">
        <w:rPr>
          <w:rFonts w:eastAsia="Calibri"/>
          <w:b/>
        </w:rPr>
        <w:t xml:space="preserve">Assessment </w:t>
      </w:r>
      <w:r w:rsidR="00CF0A56" w:rsidRPr="00CF0A56">
        <w:rPr>
          <w:rFonts w:eastAsia="Calibri"/>
          <w:b/>
        </w:rPr>
        <w:t>:</w:t>
      </w:r>
      <w:proofErr w:type="gramEnd"/>
      <w:r w:rsidR="00CF0A56" w:rsidRPr="00CF0A56">
        <w:rPr>
          <w:rFonts w:eastAsia="Calibri"/>
          <w:b/>
        </w:rPr>
        <w:t xml:space="preserve"> Not needed</w:t>
      </w:r>
    </w:p>
    <w:p w14:paraId="225DB6DC" w14:textId="77777777" w:rsidR="000874A6" w:rsidRPr="001844D2" w:rsidRDefault="000874A6" w:rsidP="000874A6">
      <w:pPr>
        <w:jc w:val="both"/>
        <w:rPr>
          <w:rFonts w:eastAsia="Calibri"/>
          <w:b/>
          <w:color w:val="FF0000"/>
          <w:sz w:val="20"/>
          <w:szCs w:val="20"/>
        </w:rPr>
      </w:pPr>
      <w:r w:rsidRPr="001844D2">
        <w:rPr>
          <w:sz w:val="20"/>
          <w:szCs w:val="20"/>
        </w:rPr>
        <w:t>required when a processing operation “</w:t>
      </w:r>
      <w:r w:rsidRPr="001844D2">
        <w:rPr>
          <w:i/>
          <w:iCs/>
          <w:sz w:val="20"/>
          <w:szCs w:val="20"/>
        </w:rPr>
        <w:t>is likely to result in a high risk to the rights and freedoms of natural person</w:t>
      </w:r>
      <w:r w:rsidRPr="001844D2">
        <w:rPr>
          <w:sz w:val="20"/>
          <w:szCs w:val="20"/>
        </w:rPr>
        <w:t>”.</w:t>
      </w:r>
      <w:r>
        <w:rPr>
          <w:sz w:val="20"/>
          <w:szCs w:val="20"/>
        </w:rPr>
        <w:t xml:space="preserve"> </w:t>
      </w:r>
    </w:p>
    <w:p w14:paraId="003CD637" w14:textId="77777777" w:rsidR="000874A6" w:rsidRPr="001844D2" w:rsidRDefault="000874A6" w:rsidP="000874A6">
      <w:pPr>
        <w:jc w:val="both"/>
        <w:rPr>
          <w:rFonts w:eastAsia="Calibri"/>
          <w:b/>
          <w:sz w:val="20"/>
          <w:szCs w:val="20"/>
        </w:rPr>
      </w:pPr>
    </w:p>
    <w:p w14:paraId="38F2A99D" w14:textId="77777777" w:rsidR="000874A6" w:rsidRPr="001844D2" w:rsidRDefault="000874A6" w:rsidP="000874A6">
      <w:pPr>
        <w:pStyle w:val="NormalWeb"/>
        <w:spacing w:before="0" w:beforeAutospacing="0" w:after="0" w:afterAutospacing="0"/>
        <w:ind w:left="720"/>
        <w:rPr>
          <w:color w:val="000000" w:themeColor="text1"/>
          <w:sz w:val="20"/>
          <w:szCs w:val="20"/>
        </w:rPr>
      </w:pPr>
      <w:r w:rsidRPr="001844D2">
        <w:rPr>
          <w:color w:val="000000" w:themeColor="text1"/>
          <w:sz w:val="20"/>
          <w:szCs w:val="20"/>
        </w:rPr>
        <w:sym w:font="Symbol" w:char="F0B7"/>
      </w:r>
      <w:r>
        <w:rPr>
          <w:color w:val="000000" w:themeColor="text1"/>
          <w:sz w:val="20"/>
          <w:szCs w:val="20"/>
        </w:rPr>
        <w:t xml:space="preserve"> </w:t>
      </w:r>
      <w:r w:rsidRPr="001844D2">
        <w:rPr>
          <w:color w:val="000000" w:themeColor="text1"/>
          <w:sz w:val="20"/>
          <w:szCs w:val="20"/>
        </w:rPr>
        <w:t xml:space="preserve">a systematic description of the envisaged processing operations and the purposes of the processing, including where applicable the legitimate interest pursued by the </w:t>
      </w:r>
      <w:proofErr w:type="gramStart"/>
      <w:r w:rsidRPr="001844D2">
        <w:rPr>
          <w:color w:val="000000" w:themeColor="text1"/>
          <w:sz w:val="20"/>
          <w:szCs w:val="20"/>
        </w:rPr>
        <w:t>controller;</w:t>
      </w:r>
      <w:proofErr w:type="gramEnd"/>
      <w:r w:rsidRPr="001844D2">
        <w:rPr>
          <w:color w:val="000000" w:themeColor="text1"/>
          <w:sz w:val="20"/>
          <w:szCs w:val="20"/>
        </w:rPr>
        <w:t xml:space="preserve"> </w:t>
      </w:r>
    </w:p>
    <w:p w14:paraId="5061B744" w14:textId="77777777" w:rsidR="000874A6" w:rsidRPr="001844D2" w:rsidRDefault="000874A6" w:rsidP="000874A6">
      <w:pPr>
        <w:pStyle w:val="NormalWeb"/>
        <w:spacing w:before="0" w:beforeAutospacing="0" w:after="0" w:afterAutospacing="0"/>
        <w:ind w:left="720"/>
        <w:rPr>
          <w:color w:val="000000" w:themeColor="text1"/>
          <w:sz w:val="20"/>
          <w:szCs w:val="20"/>
        </w:rPr>
      </w:pPr>
      <w:r w:rsidRPr="001844D2">
        <w:rPr>
          <w:color w:val="000000" w:themeColor="text1"/>
          <w:sz w:val="20"/>
          <w:szCs w:val="20"/>
        </w:rPr>
        <w:sym w:font="Symbol" w:char="F0B7"/>
      </w:r>
      <w:r>
        <w:rPr>
          <w:color w:val="000000" w:themeColor="text1"/>
          <w:sz w:val="20"/>
          <w:szCs w:val="20"/>
        </w:rPr>
        <w:t xml:space="preserve"> </w:t>
      </w:r>
      <w:r w:rsidRPr="001844D2">
        <w:rPr>
          <w:color w:val="000000" w:themeColor="text1"/>
          <w:sz w:val="20"/>
          <w:szCs w:val="20"/>
        </w:rPr>
        <w:t xml:space="preserve">an assessment of the necessity and proportionality of the processing operations in relation to the </w:t>
      </w:r>
      <w:proofErr w:type="gramStart"/>
      <w:r w:rsidRPr="001844D2">
        <w:rPr>
          <w:color w:val="000000" w:themeColor="text1"/>
          <w:sz w:val="20"/>
          <w:szCs w:val="20"/>
        </w:rPr>
        <w:t>purposes;</w:t>
      </w:r>
      <w:proofErr w:type="gramEnd"/>
      <w:r w:rsidRPr="001844D2">
        <w:rPr>
          <w:color w:val="000000" w:themeColor="text1"/>
          <w:sz w:val="20"/>
          <w:szCs w:val="20"/>
        </w:rPr>
        <w:t xml:space="preserve"> </w:t>
      </w:r>
    </w:p>
    <w:p w14:paraId="4FC07BA7" w14:textId="77777777" w:rsidR="000874A6" w:rsidRPr="001844D2" w:rsidRDefault="000874A6" w:rsidP="000874A6">
      <w:pPr>
        <w:pStyle w:val="NormalWeb"/>
        <w:spacing w:before="0" w:beforeAutospacing="0" w:after="0" w:afterAutospacing="0"/>
        <w:ind w:left="720"/>
        <w:rPr>
          <w:color w:val="000000" w:themeColor="text1"/>
          <w:sz w:val="20"/>
          <w:szCs w:val="20"/>
        </w:rPr>
      </w:pPr>
      <w:r w:rsidRPr="001844D2">
        <w:rPr>
          <w:color w:val="000000" w:themeColor="text1"/>
          <w:sz w:val="20"/>
          <w:szCs w:val="20"/>
        </w:rPr>
        <w:sym w:font="Symbol" w:char="F0B7"/>
      </w:r>
      <w:r>
        <w:rPr>
          <w:color w:val="000000" w:themeColor="text1"/>
          <w:sz w:val="20"/>
          <w:szCs w:val="20"/>
        </w:rPr>
        <w:t xml:space="preserve"> </w:t>
      </w:r>
      <w:r w:rsidRPr="001844D2">
        <w:rPr>
          <w:color w:val="000000" w:themeColor="text1"/>
          <w:sz w:val="20"/>
          <w:szCs w:val="20"/>
        </w:rPr>
        <w:t xml:space="preserve">an assessment of the risks to the rights and freedoms of data subjects that are likely to result from the processing (and </w:t>
      </w:r>
      <w:proofErr w:type="gramStart"/>
      <w:r w:rsidRPr="001844D2">
        <w:rPr>
          <w:color w:val="000000" w:themeColor="text1"/>
          <w:sz w:val="20"/>
          <w:szCs w:val="20"/>
        </w:rPr>
        <w:t>in particular the</w:t>
      </w:r>
      <w:proofErr w:type="gramEnd"/>
      <w:r w:rsidRPr="001844D2">
        <w:rPr>
          <w:color w:val="000000" w:themeColor="text1"/>
          <w:sz w:val="20"/>
          <w:szCs w:val="20"/>
        </w:rPr>
        <w:t xml:space="preserve"> origin, nature, particularity and severity of such risks); and </w:t>
      </w:r>
    </w:p>
    <w:p w14:paraId="2654883E" w14:textId="77777777" w:rsidR="000874A6" w:rsidRPr="001844D2" w:rsidRDefault="000874A6" w:rsidP="000874A6">
      <w:pPr>
        <w:pStyle w:val="NormalWeb"/>
        <w:spacing w:before="0" w:beforeAutospacing="0" w:after="0" w:afterAutospacing="0"/>
        <w:ind w:left="720"/>
        <w:rPr>
          <w:color w:val="000000" w:themeColor="text1"/>
          <w:sz w:val="20"/>
          <w:szCs w:val="20"/>
        </w:rPr>
      </w:pPr>
      <w:r w:rsidRPr="001844D2">
        <w:rPr>
          <w:color w:val="000000" w:themeColor="text1"/>
          <w:sz w:val="20"/>
          <w:szCs w:val="20"/>
        </w:rPr>
        <w:sym w:font="Symbol" w:char="F0B7"/>
      </w:r>
      <w:r>
        <w:rPr>
          <w:color w:val="000000" w:themeColor="text1"/>
          <w:sz w:val="20"/>
          <w:szCs w:val="20"/>
        </w:rPr>
        <w:t xml:space="preserve"> </w:t>
      </w:r>
      <w:r w:rsidRPr="001844D2">
        <w:rPr>
          <w:color w:val="000000" w:themeColor="text1"/>
          <w:sz w:val="20"/>
          <w:szCs w:val="20"/>
        </w:rPr>
        <w:t xml:space="preserve">the measures envisaged to address the risks, including safeguards, security measures and mechanisms to ensure the protection of personal data and demonstrate compliance with the GDPR. </w:t>
      </w:r>
    </w:p>
    <w:p w14:paraId="13FB6C72" w14:textId="77777777" w:rsidR="000874A6" w:rsidRPr="001844D2" w:rsidRDefault="000874A6" w:rsidP="000874A6">
      <w:pPr>
        <w:spacing w:after="200" w:line="276" w:lineRule="auto"/>
        <w:jc w:val="both"/>
        <w:rPr>
          <w:rFonts w:eastAsia="Calibri"/>
          <w:b/>
        </w:rPr>
      </w:pPr>
      <w:r w:rsidRPr="001844D2">
        <w:rPr>
          <w:rFonts w:eastAsia="Calibri"/>
          <w:b/>
        </w:rPr>
        <w:softHyphen/>
      </w:r>
    </w:p>
    <w:p w14:paraId="2F7C148D" w14:textId="77777777" w:rsidR="000874A6" w:rsidRPr="001844D2" w:rsidRDefault="000874A6" w:rsidP="000874A6">
      <w:pPr>
        <w:spacing w:after="200" w:line="276" w:lineRule="auto"/>
        <w:jc w:val="both"/>
        <w:rPr>
          <w:rFonts w:eastAsia="Calibri"/>
          <w:b/>
        </w:rPr>
      </w:pPr>
      <w:r w:rsidRPr="001844D2">
        <w:rPr>
          <w:rFonts w:eastAsia="Calibri"/>
          <w:sz w:val="20"/>
          <w:szCs w:val="20"/>
        </w:rPr>
        <w:t>Practically speaking a DPIA is needed when two or more of the casus below are applicable:</w:t>
      </w:r>
    </w:p>
    <w:p w14:paraId="462D3579" w14:textId="77777777" w:rsidR="000874A6" w:rsidRPr="001844D2" w:rsidRDefault="000874A6" w:rsidP="000874A6">
      <w:pPr>
        <w:pStyle w:val="ListParagraph"/>
        <w:numPr>
          <w:ilvl w:val="0"/>
          <w:numId w:val="3"/>
        </w:numPr>
        <w:spacing w:after="200" w:line="276" w:lineRule="auto"/>
        <w:ind w:left="851" w:hanging="142"/>
        <w:jc w:val="both"/>
        <w:rPr>
          <w:rFonts w:eastAsia="Calibri"/>
          <w:sz w:val="20"/>
          <w:szCs w:val="20"/>
        </w:rPr>
      </w:pPr>
      <w:r w:rsidRPr="001844D2">
        <w:rPr>
          <w:rFonts w:eastAsia="Calibri"/>
          <w:sz w:val="20"/>
          <w:szCs w:val="20"/>
        </w:rPr>
        <w:t>Assessing people based on personal characteristics</w:t>
      </w:r>
    </w:p>
    <w:p w14:paraId="4F692B0A" w14:textId="77777777" w:rsidR="000874A6" w:rsidRPr="001844D2" w:rsidRDefault="000874A6" w:rsidP="000874A6">
      <w:pPr>
        <w:pStyle w:val="ListParagraph"/>
        <w:numPr>
          <w:ilvl w:val="0"/>
          <w:numId w:val="3"/>
        </w:numPr>
        <w:spacing w:after="200" w:line="276" w:lineRule="auto"/>
        <w:ind w:left="851" w:hanging="142"/>
        <w:jc w:val="both"/>
        <w:rPr>
          <w:rFonts w:eastAsia="Calibri"/>
          <w:sz w:val="20"/>
          <w:szCs w:val="20"/>
        </w:rPr>
      </w:pPr>
      <w:r w:rsidRPr="001844D2">
        <w:rPr>
          <w:rFonts w:eastAsia="Calibri"/>
          <w:sz w:val="20"/>
          <w:szCs w:val="20"/>
        </w:rPr>
        <w:t>Automated decision making</w:t>
      </w:r>
    </w:p>
    <w:p w14:paraId="10A4EE6F" w14:textId="77777777" w:rsidR="000874A6" w:rsidRPr="001844D2" w:rsidRDefault="000874A6" w:rsidP="000874A6">
      <w:pPr>
        <w:pStyle w:val="ListParagraph"/>
        <w:numPr>
          <w:ilvl w:val="0"/>
          <w:numId w:val="3"/>
        </w:numPr>
        <w:spacing w:after="200" w:line="276" w:lineRule="auto"/>
        <w:ind w:left="851" w:hanging="142"/>
        <w:jc w:val="both"/>
        <w:rPr>
          <w:rFonts w:eastAsia="Calibri"/>
          <w:sz w:val="20"/>
          <w:szCs w:val="20"/>
        </w:rPr>
      </w:pPr>
      <w:r w:rsidRPr="001844D2">
        <w:rPr>
          <w:rFonts w:eastAsia="Calibri"/>
          <w:sz w:val="20"/>
          <w:szCs w:val="20"/>
        </w:rPr>
        <w:t>Structured and large-scale monitoring</w:t>
      </w:r>
    </w:p>
    <w:p w14:paraId="225BDCF6" w14:textId="77777777" w:rsidR="000874A6" w:rsidRPr="001844D2" w:rsidRDefault="000874A6" w:rsidP="000874A6">
      <w:pPr>
        <w:pStyle w:val="ListParagraph"/>
        <w:numPr>
          <w:ilvl w:val="0"/>
          <w:numId w:val="3"/>
        </w:numPr>
        <w:spacing w:after="200" w:line="276" w:lineRule="auto"/>
        <w:ind w:left="851" w:hanging="142"/>
        <w:jc w:val="both"/>
        <w:rPr>
          <w:rFonts w:eastAsia="Calibri"/>
          <w:sz w:val="20"/>
          <w:szCs w:val="20"/>
        </w:rPr>
      </w:pPr>
      <w:r w:rsidRPr="001844D2">
        <w:rPr>
          <w:rFonts w:eastAsia="Calibri"/>
          <w:sz w:val="20"/>
          <w:szCs w:val="20"/>
        </w:rPr>
        <w:t>Sensitive personal data</w:t>
      </w:r>
    </w:p>
    <w:p w14:paraId="39388B88" w14:textId="77777777" w:rsidR="000874A6" w:rsidRPr="001844D2" w:rsidRDefault="000874A6" w:rsidP="000874A6">
      <w:pPr>
        <w:pStyle w:val="ListParagraph"/>
        <w:numPr>
          <w:ilvl w:val="0"/>
          <w:numId w:val="3"/>
        </w:numPr>
        <w:spacing w:after="200" w:line="276" w:lineRule="auto"/>
        <w:ind w:left="851" w:hanging="142"/>
        <w:jc w:val="both"/>
        <w:rPr>
          <w:rFonts w:eastAsia="Calibri"/>
          <w:sz w:val="20"/>
          <w:szCs w:val="20"/>
        </w:rPr>
      </w:pPr>
      <w:r w:rsidRPr="001844D2">
        <w:rPr>
          <w:rFonts w:eastAsia="Calibri"/>
          <w:sz w:val="20"/>
          <w:szCs w:val="20"/>
        </w:rPr>
        <w:t>Large-scale data processing</w:t>
      </w:r>
    </w:p>
    <w:p w14:paraId="494DA2CB" w14:textId="77777777" w:rsidR="000874A6" w:rsidRPr="001844D2" w:rsidRDefault="000874A6" w:rsidP="000874A6">
      <w:pPr>
        <w:pStyle w:val="ListParagraph"/>
        <w:numPr>
          <w:ilvl w:val="0"/>
          <w:numId w:val="3"/>
        </w:numPr>
        <w:spacing w:after="200" w:line="276" w:lineRule="auto"/>
        <w:ind w:left="851" w:hanging="142"/>
        <w:jc w:val="both"/>
        <w:rPr>
          <w:rFonts w:eastAsia="Calibri"/>
          <w:sz w:val="20"/>
          <w:szCs w:val="20"/>
        </w:rPr>
      </w:pPr>
      <w:r w:rsidRPr="001844D2">
        <w:rPr>
          <w:rFonts w:eastAsia="Calibri"/>
          <w:sz w:val="20"/>
          <w:szCs w:val="20"/>
        </w:rPr>
        <w:t>Linked databases</w:t>
      </w:r>
    </w:p>
    <w:p w14:paraId="426B1D0A" w14:textId="77777777" w:rsidR="000874A6" w:rsidRPr="001844D2" w:rsidRDefault="000874A6" w:rsidP="000874A6">
      <w:pPr>
        <w:pStyle w:val="ListParagraph"/>
        <w:numPr>
          <w:ilvl w:val="0"/>
          <w:numId w:val="3"/>
        </w:numPr>
        <w:spacing w:after="200" w:line="276" w:lineRule="auto"/>
        <w:ind w:left="851" w:hanging="142"/>
        <w:jc w:val="both"/>
        <w:rPr>
          <w:rFonts w:eastAsia="Calibri"/>
          <w:sz w:val="20"/>
          <w:szCs w:val="20"/>
        </w:rPr>
      </w:pPr>
      <w:r w:rsidRPr="001844D2">
        <w:rPr>
          <w:rFonts w:eastAsia="Calibri"/>
          <w:sz w:val="20"/>
          <w:szCs w:val="20"/>
        </w:rPr>
        <w:t>Data on vulnerable persons</w:t>
      </w:r>
    </w:p>
    <w:p w14:paraId="2245D390" w14:textId="77777777" w:rsidR="000874A6" w:rsidRPr="001844D2" w:rsidRDefault="000874A6" w:rsidP="000874A6">
      <w:pPr>
        <w:pStyle w:val="ListParagraph"/>
        <w:numPr>
          <w:ilvl w:val="0"/>
          <w:numId w:val="3"/>
        </w:numPr>
        <w:spacing w:after="200" w:line="276" w:lineRule="auto"/>
        <w:ind w:left="851" w:hanging="142"/>
        <w:jc w:val="both"/>
        <w:rPr>
          <w:rFonts w:eastAsia="Calibri"/>
          <w:sz w:val="20"/>
          <w:szCs w:val="20"/>
        </w:rPr>
      </w:pPr>
      <w:r w:rsidRPr="001844D2">
        <w:rPr>
          <w:rFonts w:eastAsia="Calibri"/>
          <w:sz w:val="20"/>
          <w:szCs w:val="20"/>
        </w:rPr>
        <w:t>Use of new technologies</w:t>
      </w:r>
    </w:p>
    <w:p w14:paraId="6BD2075D" w14:textId="77777777" w:rsidR="000874A6" w:rsidRPr="001844D2" w:rsidRDefault="000874A6" w:rsidP="000874A6">
      <w:pPr>
        <w:pStyle w:val="ListParagraph"/>
        <w:numPr>
          <w:ilvl w:val="0"/>
          <w:numId w:val="3"/>
        </w:numPr>
        <w:spacing w:after="200" w:line="276" w:lineRule="auto"/>
        <w:ind w:left="851" w:hanging="142"/>
        <w:jc w:val="both"/>
        <w:rPr>
          <w:rFonts w:eastAsia="Calibri"/>
          <w:sz w:val="20"/>
          <w:szCs w:val="20"/>
        </w:rPr>
      </w:pPr>
      <w:r w:rsidRPr="001844D2">
        <w:rPr>
          <w:rFonts w:eastAsia="Calibri"/>
          <w:sz w:val="20"/>
          <w:szCs w:val="20"/>
        </w:rPr>
        <w:t>Blocking of (a) right(s), service(s) or contract(s)</w:t>
      </w:r>
    </w:p>
    <w:p w14:paraId="737162A2" w14:textId="77777777" w:rsidR="000874A6" w:rsidRPr="009832C1" w:rsidRDefault="000874A6" w:rsidP="000874A6">
      <w:pPr>
        <w:jc w:val="both"/>
        <w:rPr>
          <w:rFonts w:eastAsia="Calibri"/>
          <w:b/>
          <w:color w:val="000000" w:themeColor="text1"/>
          <w:sz w:val="20"/>
          <w:szCs w:val="20"/>
        </w:rPr>
      </w:pPr>
      <w:r w:rsidRPr="001844D2">
        <w:rPr>
          <w:color w:val="000000" w:themeColor="text1"/>
          <w:sz w:val="20"/>
          <w:szCs w:val="20"/>
        </w:rPr>
        <w:t>When data on genetics and/or health is concerned, a DPIA is mandatory. Please contact the data steward when drafting a DPIA so we can guide you in the process.</w:t>
      </w:r>
    </w:p>
    <w:p w14:paraId="5FE1D7C3" w14:textId="77777777" w:rsidR="000874A6" w:rsidRDefault="000874A6" w:rsidP="000874A6">
      <w:pPr>
        <w:spacing w:after="200" w:line="276" w:lineRule="auto"/>
        <w:jc w:val="both"/>
        <w:rPr>
          <w:rFonts w:eastAsia="Calibri"/>
          <w:b/>
        </w:rPr>
      </w:pPr>
    </w:p>
    <w:p w14:paraId="761F37DE" w14:textId="74C7B610" w:rsidR="000874A6" w:rsidRPr="001844D2" w:rsidRDefault="000874A6" w:rsidP="000874A6">
      <w:pPr>
        <w:spacing w:after="200" w:line="276" w:lineRule="auto"/>
        <w:jc w:val="both"/>
        <w:rPr>
          <w:rFonts w:eastAsia="Calibri"/>
          <w:b/>
        </w:rPr>
      </w:pPr>
      <w:r w:rsidRPr="001844D2">
        <w:rPr>
          <w:rFonts w:eastAsia="Calibri"/>
          <w:b/>
        </w:rPr>
        <w:lastRenderedPageBreak/>
        <w:t>9. Data editing/manipulation steps (</w:t>
      </w:r>
      <w:proofErr w:type="gramStart"/>
      <w:r w:rsidRPr="001844D2">
        <w:rPr>
          <w:rFonts w:eastAsia="Calibri"/>
          <w:b/>
        </w:rPr>
        <w:t>e.g.</w:t>
      </w:r>
      <w:proofErr w:type="gramEnd"/>
      <w:r w:rsidRPr="001844D2">
        <w:rPr>
          <w:rFonts w:eastAsia="Calibri"/>
          <w:b/>
        </w:rPr>
        <w:t xml:space="preserve"> </w:t>
      </w:r>
      <w:r w:rsidRPr="001844D2">
        <w:rPr>
          <w:b/>
        </w:rPr>
        <w:t>SPSS Syntax files, R scripts)</w:t>
      </w:r>
      <w:r w:rsidR="00CF0A56">
        <w:rPr>
          <w:b/>
        </w:rPr>
        <w:t>: None, raw data will be uploaded</w:t>
      </w:r>
      <w:r w:rsidR="009378A5">
        <w:rPr>
          <w:b/>
        </w:rPr>
        <w:t xml:space="preserve"> in </w:t>
      </w:r>
      <w:proofErr w:type="spellStart"/>
      <w:r w:rsidR="009378A5">
        <w:rPr>
          <w:b/>
        </w:rPr>
        <w:t>Figshare</w:t>
      </w:r>
      <w:proofErr w:type="spellEnd"/>
    </w:p>
    <w:p w14:paraId="26AF2C4C" w14:textId="441B222F" w:rsidR="000874A6" w:rsidRPr="001844D2" w:rsidRDefault="000874A6" w:rsidP="000874A6">
      <w:pPr>
        <w:spacing w:after="200" w:line="276" w:lineRule="auto"/>
        <w:jc w:val="both"/>
        <w:rPr>
          <w:rFonts w:eastAsia="Calibri"/>
          <w:b/>
        </w:rPr>
      </w:pPr>
      <w:r w:rsidRPr="001844D2">
        <w:rPr>
          <w:rFonts w:eastAsia="Calibri"/>
          <w:b/>
        </w:rPr>
        <w:t>10. Where and how will the data be stored (including temporary storage for research use) and security measures applied:</w:t>
      </w:r>
      <w:r w:rsidR="00CF0A56">
        <w:rPr>
          <w:rFonts w:eastAsia="Calibri"/>
          <w:b/>
        </w:rPr>
        <w:t xml:space="preserve"> Shared with the CREED raw data backup via email (directly after each session), present on the HD </w:t>
      </w:r>
      <w:r w:rsidR="009378A5">
        <w:rPr>
          <w:rFonts w:eastAsia="Calibri"/>
          <w:b/>
        </w:rPr>
        <w:t xml:space="preserve">(encrypted) </w:t>
      </w:r>
      <w:r w:rsidR="00CF0A56">
        <w:rPr>
          <w:rFonts w:eastAsia="Calibri"/>
          <w:b/>
        </w:rPr>
        <w:t>of the laptop</w:t>
      </w:r>
      <w:r w:rsidR="009378A5">
        <w:rPr>
          <w:rFonts w:eastAsia="Calibri"/>
          <w:b/>
        </w:rPr>
        <w:t xml:space="preserve"> </w:t>
      </w:r>
      <w:r w:rsidR="00CF0A56">
        <w:rPr>
          <w:rFonts w:eastAsia="Calibri"/>
          <w:b/>
        </w:rPr>
        <w:t xml:space="preserve">of </w:t>
      </w:r>
      <w:r w:rsidR="009378A5">
        <w:rPr>
          <w:rFonts w:eastAsia="Calibri"/>
          <w:b/>
        </w:rPr>
        <w:t xml:space="preserve">the </w:t>
      </w:r>
      <w:r w:rsidR="00CF0A56">
        <w:rPr>
          <w:rFonts w:eastAsia="Calibri"/>
          <w:b/>
        </w:rPr>
        <w:t>author</w:t>
      </w:r>
      <w:r w:rsidR="009378A5">
        <w:rPr>
          <w:rFonts w:eastAsia="Calibri"/>
          <w:b/>
        </w:rPr>
        <w:t xml:space="preserve"> (Johan de Jong)</w:t>
      </w:r>
      <w:r w:rsidR="00CF0A56">
        <w:rPr>
          <w:rFonts w:eastAsia="Calibri"/>
          <w:b/>
        </w:rPr>
        <w:t xml:space="preserve">, uploaded to </w:t>
      </w:r>
      <w:proofErr w:type="spellStart"/>
      <w:r w:rsidR="00CF0A56">
        <w:rPr>
          <w:rFonts w:eastAsia="Calibri"/>
          <w:b/>
        </w:rPr>
        <w:t>Figshare</w:t>
      </w:r>
      <w:proofErr w:type="spellEnd"/>
      <w:r w:rsidR="00CF0A56">
        <w:rPr>
          <w:rFonts w:eastAsia="Calibri"/>
          <w:b/>
        </w:rPr>
        <w:t xml:space="preserve"> (later in the project)</w:t>
      </w:r>
    </w:p>
    <w:p w14:paraId="294321C6" w14:textId="2E63A0EF" w:rsidR="000874A6" w:rsidRPr="00CF0A56" w:rsidRDefault="000874A6" w:rsidP="000874A6">
      <w:pPr>
        <w:spacing w:after="200" w:line="276" w:lineRule="auto"/>
        <w:jc w:val="both"/>
        <w:rPr>
          <w:rFonts w:eastAsia="Calibri"/>
          <w:b/>
        </w:rPr>
      </w:pPr>
      <w:r w:rsidRPr="001844D2">
        <w:rPr>
          <w:rFonts w:eastAsia="Calibri"/>
          <w:b/>
        </w:rPr>
        <w:t xml:space="preserve">11. Approval EBEC (Economics &amp; Business Ethics Committee) obtained: </w:t>
      </w:r>
      <w:proofErr w:type="gramStart"/>
      <w:r w:rsidR="00CF0A56">
        <w:rPr>
          <w:rFonts w:eastAsia="Calibri"/>
          <w:b/>
        </w:rPr>
        <w:t>Yes</w:t>
      </w:r>
      <w:proofErr w:type="gramEnd"/>
      <w:r w:rsidR="00CF0A56">
        <w:rPr>
          <w:rFonts w:eastAsia="Calibri"/>
          <w:b/>
        </w:rPr>
        <w:t xml:space="preserve"> </w:t>
      </w:r>
      <w:r w:rsidRPr="001844D2">
        <w:rPr>
          <w:rFonts w:eastAsia="Calibri"/>
        </w:rPr>
        <w:t>approval yes/no</w:t>
      </w:r>
    </w:p>
    <w:p w14:paraId="0F736B52" w14:textId="72D535FC" w:rsidR="000874A6" w:rsidRPr="001844D2" w:rsidRDefault="000874A6" w:rsidP="000874A6">
      <w:pPr>
        <w:spacing w:after="200" w:line="276" w:lineRule="auto"/>
        <w:jc w:val="both"/>
        <w:rPr>
          <w:rFonts w:eastAsia="Times New Roman"/>
          <w:b/>
          <w:color w:val="000000" w:themeColor="text1"/>
        </w:rPr>
      </w:pPr>
      <w:r w:rsidRPr="001844D2">
        <w:rPr>
          <w:rStyle w:val="Strong"/>
          <w:rFonts w:eastAsia="Times New Roman"/>
          <w:color w:val="000000" w:themeColor="text1"/>
        </w:rPr>
        <w:t xml:space="preserve">12. Intellectual property, </w:t>
      </w:r>
      <w:proofErr w:type="gramStart"/>
      <w:r w:rsidRPr="001844D2">
        <w:rPr>
          <w:rStyle w:val="Strong"/>
          <w:rFonts w:eastAsia="Times New Roman"/>
          <w:color w:val="000000" w:themeColor="text1"/>
        </w:rPr>
        <w:t>copyright</w:t>
      </w:r>
      <w:proofErr w:type="gramEnd"/>
      <w:r w:rsidRPr="001844D2">
        <w:rPr>
          <w:rStyle w:val="Strong"/>
          <w:rFonts w:eastAsia="Times New Roman"/>
          <w:color w:val="000000" w:themeColor="text1"/>
        </w:rPr>
        <w:t xml:space="preserve"> and ownership</w:t>
      </w:r>
      <w:r w:rsidRPr="001844D2">
        <w:rPr>
          <w:rFonts w:eastAsia="Times New Roman"/>
          <w:color w:val="000000" w:themeColor="text1"/>
        </w:rPr>
        <w:t xml:space="preserve"> </w:t>
      </w:r>
      <w:r w:rsidRPr="001844D2">
        <w:rPr>
          <w:rFonts w:eastAsia="Times New Roman"/>
          <w:b/>
          <w:color w:val="000000" w:themeColor="text1"/>
        </w:rPr>
        <w:t>of the data:</w:t>
      </w:r>
      <w:r w:rsidR="00CF0A56">
        <w:rPr>
          <w:rFonts w:eastAsia="Times New Roman"/>
          <w:b/>
          <w:color w:val="000000" w:themeColor="text1"/>
        </w:rPr>
        <w:t xml:space="preserve"> </w:t>
      </w:r>
      <w:r w:rsidR="009378A5">
        <w:rPr>
          <w:rFonts w:eastAsia="Times New Roman"/>
          <w:b/>
          <w:color w:val="000000" w:themeColor="text1"/>
        </w:rPr>
        <w:t>Johan de Jong</w:t>
      </w:r>
    </w:p>
    <w:p w14:paraId="59E8D9B7" w14:textId="06B9D157" w:rsidR="000874A6" w:rsidRPr="001844D2" w:rsidRDefault="00CF0A56" w:rsidP="000874A6">
      <w:pPr>
        <w:spacing w:after="200" w:line="276" w:lineRule="auto"/>
        <w:jc w:val="both"/>
        <w:rPr>
          <w:rFonts w:eastAsia="Calibr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2EDB7E28" wp14:editId="2AD7E2BE">
                <wp:simplePos x="0" y="0"/>
                <wp:positionH relativeFrom="column">
                  <wp:posOffset>-459621</wp:posOffset>
                </wp:positionH>
                <wp:positionV relativeFrom="paragraph">
                  <wp:posOffset>386303</wp:posOffset>
                </wp:positionV>
                <wp:extent cx="271305" cy="261257"/>
                <wp:effectExtent l="0" t="0" r="0" b="571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305" cy="2612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3C56149" w14:textId="10E1BA65" w:rsidR="00CF0A56" w:rsidRDefault="00CF0A56">
                            <w: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DB7E2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36.2pt;margin-top:30.4pt;width:21.35pt;height:20.5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" fillcolor="white [3201]" stroked="f" strokeweight=".5pt">
                <v:textbox>
                  <w:txbxContent>
                    <w:p w14:paraId="03C56149" w14:textId="10E1BA65" w:rsidR="00CF0A56" w:rsidRDefault="00CF0A56">
                      <w: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0874A6" w:rsidRPr="001844D2">
        <w:rPr>
          <w:rFonts w:eastAsia="Times New Roman"/>
          <w:b/>
          <w:bCs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B80209" wp14:editId="771273EC">
                <wp:simplePos x="0" y="0"/>
                <wp:positionH relativeFrom="column">
                  <wp:posOffset>-412115</wp:posOffset>
                </wp:positionH>
                <wp:positionV relativeFrom="paragraph">
                  <wp:posOffset>385445</wp:posOffset>
                </wp:positionV>
                <wp:extent cx="228600" cy="228600"/>
                <wp:effectExtent l="25400" t="25400" r="25400" b="25400"/>
                <wp:wrapThrough wrapText="bothSides">
                  <wp:wrapPolygon edited="0">
                    <wp:start x="-2400" y="-2400"/>
                    <wp:lineTo x="-2400" y="21600"/>
                    <wp:lineTo x="21600" y="21600"/>
                    <wp:lineTo x="21600" y="-2400"/>
                    <wp:lineTo x="-2400" y="-2400"/>
                  </wp:wrapPolygon>
                </wp:wrapThrough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BEB51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4DAF3E" id="Rectangle 5" o:spid="_x0000_s1026" style="position:absolute;margin-left:-32.45pt;margin-top:30.35pt;width:18pt;height:1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" filled="f" strokecolor="#beb511" strokeweight="3pt">
                <w10:wrap type="through"/>
              </v:rect>
            </w:pict>
          </mc:Fallback>
        </mc:AlternateContent>
      </w:r>
    </w:p>
    <w:p w14:paraId="54F532C5" w14:textId="652754A9" w:rsidR="000874A6" w:rsidRPr="001844D2" w:rsidRDefault="000874A6" w:rsidP="000874A6">
      <w:pPr>
        <w:spacing w:after="200" w:line="276" w:lineRule="auto"/>
        <w:jc w:val="both"/>
        <w:rPr>
          <w:rFonts w:eastAsia="Calibri"/>
        </w:rPr>
      </w:pPr>
      <w:r w:rsidRPr="001844D2">
        <w:rPr>
          <w:rFonts w:eastAsia="Calibri"/>
        </w:rPr>
        <w:t xml:space="preserve">The researcher </w:t>
      </w:r>
      <w:r w:rsidR="00CF0A56">
        <w:rPr>
          <w:rFonts w:eastAsia="Calibri"/>
        </w:rPr>
        <w:t>Johan de Jong</w:t>
      </w:r>
      <w:r w:rsidRPr="001844D2">
        <w:rPr>
          <w:rFonts w:eastAsia="Calibri"/>
        </w:rPr>
        <w:t xml:space="preserve"> hereby states that the data will be stored will be in line with the UvA</w:t>
      </w:r>
      <w:r>
        <w:rPr>
          <w:rFonts w:eastAsia="Calibri"/>
        </w:rPr>
        <w:t xml:space="preserve"> </w:t>
      </w:r>
      <w:r w:rsidRPr="001844D2">
        <w:rPr>
          <w:rFonts w:eastAsia="Calibri"/>
        </w:rPr>
        <w:t xml:space="preserve">guidelines and </w:t>
      </w:r>
      <w:r>
        <w:rPr>
          <w:rFonts w:eastAsia="Calibri"/>
        </w:rPr>
        <w:t>UvA EB</w:t>
      </w:r>
      <w:r w:rsidRPr="001844D2">
        <w:rPr>
          <w:rFonts w:eastAsia="Calibri"/>
        </w:rPr>
        <w:t xml:space="preserve"> protocol on RDM.</w:t>
      </w:r>
    </w:p>
    <w:p w14:paraId="48EB679E" w14:textId="03B66127" w:rsidR="002873AA" w:rsidRDefault="002873AA" w:rsidP="000874A6">
      <w:pPr>
        <w:spacing w:after="160" w:line="259" w:lineRule="auto"/>
      </w:pPr>
    </w:p>
    <w:sectPr w:rsidR="002873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2708D"/>
    <w:multiLevelType w:val="hybridMultilevel"/>
    <w:tmpl w:val="585E7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28456D"/>
    <w:multiLevelType w:val="multilevel"/>
    <w:tmpl w:val="E04EA496"/>
    <w:styleLink w:val="UvAbullets"/>
    <w:lvl w:ilvl="0">
      <w:start w:val="1"/>
      <w:numFmt w:val="bullet"/>
      <w:pStyle w:val="ListParagraph"/>
      <w:lvlText w:val="•"/>
      <w:lvlJc w:val="left"/>
      <w:pPr>
        <w:ind w:left="284" w:hanging="284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•"/>
      <w:lvlJc w:val="left"/>
      <w:pPr>
        <w:ind w:left="568" w:hanging="284"/>
      </w:pPr>
      <w:rPr>
        <w:rFonts w:ascii="Times New Roman" w:hAnsi="Times New Roman" w:cs="Times New Roman" w:hint="default"/>
        <w:color w:val="auto"/>
      </w:rPr>
    </w:lvl>
    <w:lvl w:ilvl="2">
      <w:start w:val="1"/>
      <w:numFmt w:val="bullet"/>
      <w:lvlText w:val="•"/>
      <w:lvlJc w:val="left"/>
      <w:pPr>
        <w:ind w:left="852" w:hanging="284"/>
      </w:pPr>
      <w:rPr>
        <w:rFonts w:ascii="Times New Roman" w:hAnsi="Times New Roman" w:cs="Times New Roman" w:hint="default"/>
        <w:color w:val="auto"/>
      </w:rPr>
    </w:lvl>
    <w:lvl w:ilvl="3">
      <w:start w:val="1"/>
      <w:numFmt w:val="bullet"/>
      <w:lvlText w:val="•"/>
      <w:lvlJc w:val="left"/>
      <w:pPr>
        <w:ind w:left="1136" w:hanging="284"/>
      </w:pPr>
      <w:rPr>
        <w:rFonts w:ascii="Times New Roman" w:hAnsi="Times New Roman" w:cs="Times New Roman" w:hint="default"/>
        <w:color w:val="auto"/>
      </w:rPr>
    </w:lvl>
    <w:lvl w:ilvl="4">
      <w:start w:val="1"/>
      <w:numFmt w:val="bullet"/>
      <w:lvlText w:val="•"/>
      <w:lvlJc w:val="left"/>
      <w:pPr>
        <w:ind w:left="1420" w:hanging="284"/>
      </w:pPr>
      <w:rPr>
        <w:rFonts w:ascii="Times New Roman" w:hAnsi="Times New Roman" w:cs="Times New Roman" w:hint="default"/>
        <w:color w:val="auto"/>
      </w:rPr>
    </w:lvl>
    <w:lvl w:ilvl="5">
      <w:start w:val="1"/>
      <w:numFmt w:val="bullet"/>
      <w:lvlText w:val="•"/>
      <w:lvlJc w:val="left"/>
      <w:pPr>
        <w:ind w:left="1704" w:hanging="284"/>
      </w:pPr>
      <w:rPr>
        <w:rFonts w:ascii="Times New Roman" w:hAnsi="Times New Roman" w:cs="Times New Roman" w:hint="default"/>
        <w:color w:val="auto"/>
      </w:rPr>
    </w:lvl>
    <w:lvl w:ilvl="6">
      <w:start w:val="1"/>
      <w:numFmt w:val="bullet"/>
      <w:lvlText w:val="•"/>
      <w:lvlJc w:val="left"/>
      <w:pPr>
        <w:ind w:left="1988" w:hanging="284"/>
      </w:pPr>
      <w:rPr>
        <w:rFonts w:ascii="Times New Roman" w:hAnsi="Times New Roman" w:cs="Times New Roman" w:hint="default"/>
        <w:color w:val="auto"/>
      </w:rPr>
    </w:lvl>
    <w:lvl w:ilvl="7">
      <w:start w:val="1"/>
      <w:numFmt w:val="bullet"/>
      <w:lvlText w:val="•"/>
      <w:lvlJc w:val="left"/>
      <w:pPr>
        <w:ind w:left="2272" w:hanging="284"/>
      </w:pPr>
      <w:rPr>
        <w:rFonts w:ascii="Times New Roman" w:hAnsi="Times New Roman" w:cs="Times New Roman" w:hint="default"/>
        <w:color w:val="auto"/>
      </w:rPr>
    </w:lvl>
    <w:lvl w:ilvl="8">
      <w:start w:val="1"/>
      <w:numFmt w:val="bullet"/>
      <w:lvlText w:val="•"/>
      <w:lvlJc w:val="left"/>
      <w:pPr>
        <w:ind w:left="2556" w:hanging="284"/>
      </w:pPr>
      <w:rPr>
        <w:rFonts w:ascii="Times New Roman" w:hAnsi="Times New Roman" w:cs="Times New Roman" w:hint="default"/>
        <w:color w:val="auto"/>
      </w:rPr>
    </w:lvl>
  </w:abstractNum>
  <w:abstractNum w:abstractNumId="2" w15:restartNumberingAfterBreak="0">
    <w:nsid w:val="48163CD1"/>
    <w:multiLevelType w:val="multilevel"/>
    <w:tmpl w:val="E04EA496"/>
    <w:numStyleLink w:val="UvAbullets"/>
  </w:abstractNum>
  <w:num w:numId="1" w16cid:durableId="592250269">
    <w:abstractNumId w:val="1"/>
  </w:num>
  <w:num w:numId="2" w16cid:durableId="2024353899">
    <w:abstractNumId w:val="2"/>
  </w:num>
  <w:num w:numId="3" w16cid:durableId="14442321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4A6"/>
    <w:rsid w:val="000874A6"/>
    <w:rsid w:val="000E3E74"/>
    <w:rsid w:val="00265CFB"/>
    <w:rsid w:val="002873AA"/>
    <w:rsid w:val="007C577E"/>
    <w:rsid w:val="009378A5"/>
    <w:rsid w:val="00CF0A56"/>
    <w:rsid w:val="00F46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66B54D"/>
  <w15:chartTrackingRefBased/>
  <w15:docId w15:val="{F3C29287-1F90-452B-A3E5-5EC142AAC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74A6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UvAbullets">
    <w:name w:val="UvA bullets"/>
    <w:uiPriority w:val="99"/>
    <w:rsid w:val="000874A6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0874A6"/>
    <w:pPr>
      <w:numPr>
        <w:numId w:val="2"/>
      </w:numPr>
      <w:contextualSpacing/>
    </w:pPr>
  </w:style>
  <w:style w:type="character" w:styleId="Strong">
    <w:name w:val="Strong"/>
    <w:basedOn w:val="DefaultParagraphFont"/>
    <w:uiPriority w:val="22"/>
    <w:qFormat/>
    <w:rsid w:val="000874A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874A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90b589a-0042-44ea-bd58-d6c1d9d0e8bd" xsi:nil="true"/>
    <lcf76f155ced4ddcb4097134ff3c332f xmlns="59f9194d-5ceb-4b3f-bb89-02f29b0a75ac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91E58390F3E24FB541E699017F523E" ma:contentTypeVersion="14" ma:contentTypeDescription="Create a new document." ma:contentTypeScope="" ma:versionID="f511949e8feecedfefc4c36ff02808c6">
  <xsd:schema xmlns:xsd="http://www.w3.org/2001/XMLSchema" xmlns:xs="http://www.w3.org/2001/XMLSchema" xmlns:p="http://schemas.microsoft.com/office/2006/metadata/properties" xmlns:ns2="59f9194d-5ceb-4b3f-bb89-02f29b0a75ac" xmlns:ns3="990b589a-0042-44ea-bd58-d6c1d9d0e8bd" targetNamespace="http://schemas.microsoft.com/office/2006/metadata/properties" ma:root="true" ma:fieldsID="ed3cb5dabccfc2141b9fa07ab479267c" ns2:_="" ns3:_="">
    <xsd:import namespace="59f9194d-5ceb-4b3f-bb89-02f29b0a75ac"/>
    <xsd:import namespace="990b589a-0042-44ea-bd58-d6c1d9d0e8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f9194d-5ceb-4b3f-bb89-02f29b0a75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99b6ca76-abda-4f5c-bf70-6374a71c10d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0b589a-0042-44ea-bd58-d6c1d9d0e8b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57d99c27-eef4-4a5a-8d7a-07f76b594fc3}" ma:internalName="TaxCatchAll" ma:showField="CatchAllData" ma:web="990b589a-0042-44ea-bd58-d6c1d9d0e8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49580A2-C57A-4CCC-B697-C6EB851A0029}">
  <ds:schemaRefs>
    <ds:schemaRef ds:uri="http://schemas.microsoft.com/office/2006/metadata/properties"/>
    <ds:schemaRef ds:uri="http://schemas.microsoft.com/office/infopath/2007/PartnerControls"/>
    <ds:schemaRef ds:uri="990b589a-0042-44ea-bd58-d6c1d9d0e8bd"/>
    <ds:schemaRef ds:uri="59f9194d-5ceb-4b3f-bb89-02f29b0a75ac"/>
  </ds:schemaRefs>
</ds:datastoreItem>
</file>

<file path=customXml/itemProps2.xml><?xml version="1.0" encoding="utf-8"?>
<ds:datastoreItem xmlns:ds="http://schemas.openxmlformats.org/officeDocument/2006/customXml" ds:itemID="{AB4D2075-80CC-4723-966A-1ADAA1C56E0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4886D0-52CA-4417-A44C-A9ECAA9A66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f9194d-5ceb-4b3f-bb89-02f29b0a75ac"/>
    <ds:schemaRef ds:uri="990b589a-0042-44ea-bd58-d6c1d9d0e8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473</Words>
  <Characters>2701</Characters>
  <Application>Microsoft Office Word</Application>
  <DocSecurity>0</DocSecurity>
  <Lines>22</Lines>
  <Paragraphs>6</Paragraphs>
  <ScaleCrop>false</ScaleCrop>
  <Company/>
  <LinksUpToDate>false</LinksUpToDate>
  <CharactersWithSpaces>3168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Koks</dc:creator>
  <cp:keywords/>
  <dc:description/>
  <cp:lastModifiedBy>Johan de Jong</cp:lastModifiedBy>
  <cp:revision>5</cp:revision>
  <dcterms:created xsi:type="dcterms:W3CDTF">2023-02-06T17:49:00Z</dcterms:created>
  <dcterms:modified xsi:type="dcterms:W3CDTF">2023-05-12T15:41:00Z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0x010100B891E58390F3E24FB541E699017F523E</vt:lpwstr>
  </property>
</Properties>
</file>