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B2" w:rsidRDefault="00420FB2" w:rsidP="00420FB2">
      <w:pPr>
        <w:spacing w:before="86"/>
        <w:ind w:left="1497"/>
        <w:rPr>
          <w:sz w:val="32"/>
        </w:rPr>
      </w:pPr>
      <w:r>
        <w:rPr>
          <w:color w:val="BDB511"/>
          <w:sz w:val="32"/>
        </w:rPr>
        <w:t xml:space="preserve">RDMP </w:t>
      </w:r>
      <w:r w:rsidR="000F57C2" w:rsidRPr="000F57C2">
        <w:rPr>
          <w:b/>
          <w:color w:val="BDB511"/>
          <w:sz w:val="32"/>
        </w:rPr>
        <w:t>Joost Bats</w:t>
      </w:r>
    </w:p>
    <w:p w:rsidR="00420FB2" w:rsidRDefault="00420FB2" w:rsidP="00420FB2">
      <w:pPr>
        <w:ind w:left="1497"/>
        <w:rPr>
          <w:sz w:val="20"/>
        </w:rPr>
      </w:pPr>
      <w:r>
        <w:rPr>
          <w:sz w:val="20"/>
        </w:rPr>
        <w:t>After completing the EBEC approval online, a first draft RDMP is generated automatically</w:t>
      </w:r>
    </w:p>
    <w:p w:rsidR="00420FB2" w:rsidRDefault="00420FB2" w:rsidP="00420FB2">
      <w:pPr>
        <w:pStyle w:val="Plattetekst"/>
        <w:spacing w:before="11"/>
        <w:rPr>
          <w:sz w:val="23"/>
        </w:rPr>
      </w:pPr>
    </w:p>
    <w:p w:rsidR="00420FB2" w:rsidRDefault="00420FB2" w:rsidP="00420FB2">
      <w:pPr>
        <w:pStyle w:val="Kop2"/>
        <w:keepNext w:val="0"/>
        <w:keepLines w:val="0"/>
        <w:numPr>
          <w:ilvl w:val="0"/>
          <w:numId w:val="3"/>
        </w:numPr>
        <w:tabs>
          <w:tab w:val="left" w:pos="1738"/>
        </w:tabs>
        <w:spacing w:before="0"/>
        <w:ind w:hanging="241"/>
      </w:pPr>
      <w:r>
        <w:t>Project</w:t>
      </w:r>
      <w:r>
        <w:rPr>
          <w:spacing w:val="-2"/>
        </w:rPr>
        <w:t xml:space="preserve"> </w:t>
      </w:r>
      <w:r>
        <w:t>name:</w:t>
      </w:r>
      <w:r>
        <w:tab/>
      </w:r>
      <w:r>
        <w:tab/>
      </w:r>
      <w:r w:rsidRPr="00267AE9">
        <w:rPr>
          <w:b w:val="0"/>
        </w:rPr>
        <w:t>PhD</w:t>
      </w:r>
      <w:r>
        <w:rPr>
          <w:b w:val="0"/>
        </w:rPr>
        <w:t xml:space="preserve"> thesis – Monetary policy transmission in unconventional times: </w:t>
      </w:r>
      <w:r>
        <w:rPr>
          <w:b w:val="0"/>
        </w:rPr>
        <w:tab/>
      </w:r>
      <w:r>
        <w:rPr>
          <w:b w:val="0"/>
        </w:rPr>
        <w:tab/>
      </w:r>
      <w:r>
        <w:rPr>
          <w:b w:val="0"/>
        </w:rPr>
        <w:tab/>
      </w:r>
      <w:r>
        <w:rPr>
          <w:b w:val="0"/>
        </w:rPr>
        <w:tab/>
      </w:r>
      <w:r>
        <w:rPr>
          <w:b w:val="0"/>
        </w:rPr>
        <w:tab/>
      </w:r>
      <w:r>
        <w:rPr>
          <w:b w:val="0"/>
        </w:rPr>
        <w:tab/>
        <w:t>The role of financial structure</w:t>
      </w:r>
    </w:p>
    <w:p w:rsidR="00420FB2" w:rsidRDefault="00420FB2" w:rsidP="00420FB2">
      <w:pPr>
        <w:pStyle w:val="Plattetekst"/>
        <w:spacing w:before="10"/>
        <w:rPr>
          <w:b/>
          <w:sz w:val="20"/>
        </w:rPr>
      </w:pPr>
    </w:p>
    <w:p w:rsidR="00420FB2" w:rsidRDefault="00420FB2" w:rsidP="00420FB2">
      <w:pPr>
        <w:pStyle w:val="Lijstalinea"/>
        <w:numPr>
          <w:ilvl w:val="0"/>
          <w:numId w:val="3"/>
        </w:numPr>
        <w:tabs>
          <w:tab w:val="left" w:pos="1738"/>
        </w:tabs>
        <w:ind w:hanging="241"/>
        <w:contextualSpacing w:val="0"/>
        <w:rPr>
          <w:b/>
          <w:sz w:val="24"/>
        </w:rPr>
      </w:pPr>
      <w:r>
        <w:rPr>
          <w:b/>
          <w:sz w:val="24"/>
        </w:rPr>
        <w:t>Lead</w:t>
      </w:r>
      <w:r>
        <w:rPr>
          <w:b/>
          <w:spacing w:val="-1"/>
          <w:sz w:val="24"/>
        </w:rPr>
        <w:t xml:space="preserve"> </w:t>
      </w:r>
      <w:r>
        <w:rPr>
          <w:b/>
          <w:sz w:val="24"/>
        </w:rPr>
        <w:t>researcher:</w:t>
      </w:r>
      <w:r>
        <w:rPr>
          <w:b/>
          <w:sz w:val="24"/>
        </w:rPr>
        <w:tab/>
      </w:r>
      <w:r>
        <w:rPr>
          <w:b/>
          <w:sz w:val="24"/>
        </w:rPr>
        <w:tab/>
      </w:r>
      <w:r>
        <w:rPr>
          <w:sz w:val="24"/>
        </w:rPr>
        <w:t>Joost Bats</w:t>
      </w:r>
    </w:p>
    <w:p w:rsidR="00420FB2" w:rsidRDefault="00420FB2" w:rsidP="00420FB2">
      <w:pPr>
        <w:pStyle w:val="Plattetekst"/>
        <w:spacing w:before="1"/>
        <w:rPr>
          <w:b/>
          <w:sz w:val="21"/>
        </w:rPr>
      </w:pPr>
    </w:p>
    <w:p w:rsidR="00420FB2" w:rsidRDefault="00420FB2" w:rsidP="00420FB2">
      <w:pPr>
        <w:pStyle w:val="Lijstalinea"/>
        <w:numPr>
          <w:ilvl w:val="0"/>
          <w:numId w:val="3"/>
        </w:numPr>
        <w:tabs>
          <w:tab w:val="left" w:pos="1738"/>
        </w:tabs>
        <w:ind w:hanging="241"/>
        <w:contextualSpacing w:val="0"/>
        <w:rPr>
          <w:b/>
          <w:sz w:val="24"/>
        </w:rPr>
      </w:pPr>
      <w:r>
        <w:rPr>
          <w:b/>
          <w:sz w:val="24"/>
        </w:rPr>
        <w:t>Data</w:t>
      </w:r>
      <w:r>
        <w:rPr>
          <w:b/>
          <w:spacing w:val="-1"/>
          <w:sz w:val="24"/>
        </w:rPr>
        <w:t xml:space="preserve"> </w:t>
      </w:r>
      <w:r>
        <w:rPr>
          <w:b/>
          <w:sz w:val="24"/>
        </w:rPr>
        <w:t>steward:</w:t>
      </w:r>
      <w:r>
        <w:rPr>
          <w:b/>
          <w:sz w:val="24"/>
        </w:rPr>
        <w:tab/>
      </w:r>
      <w:r>
        <w:rPr>
          <w:b/>
          <w:sz w:val="24"/>
        </w:rPr>
        <w:tab/>
      </w:r>
      <w:r w:rsidR="00622A44">
        <w:rPr>
          <w:sz w:val="24"/>
        </w:rPr>
        <w:t>Lisa Koks</w:t>
      </w:r>
    </w:p>
    <w:p w:rsidR="00420FB2" w:rsidRDefault="00420FB2" w:rsidP="00420FB2">
      <w:pPr>
        <w:pStyle w:val="Plattetekst"/>
        <w:spacing w:before="1"/>
        <w:rPr>
          <w:b/>
          <w:sz w:val="21"/>
        </w:rPr>
      </w:pPr>
    </w:p>
    <w:p w:rsidR="00420FB2" w:rsidRPr="00267AE9" w:rsidRDefault="00420FB2" w:rsidP="00420FB2">
      <w:pPr>
        <w:pStyle w:val="Lijstalinea"/>
        <w:numPr>
          <w:ilvl w:val="0"/>
          <w:numId w:val="3"/>
        </w:numPr>
        <w:tabs>
          <w:tab w:val="left" w:pos="1738"/>
        </w:tabs>
        <w:contextualSpacing w:val="0"/>
        <w:rPr>
          <w:b/>
          <w:sz w:val="24"/>
        </w:rPr>
      </w:pPr>
      <w:r>
        <w:rPr>
          <w:b/>
          <w:sz w:val="24"/>
        </w:rPr>
        <w:t>Research question(s):</w:t>
      </w:r>
      <w:r>
        <w:rPr>
          <w:b/>
          <w:sz w:val="24"/>
        </w:rPr>
        <w:tab/>
      </w:r>
      <w:r w:rsidRPr="00267AE9">
        <w:rPr>
          <w:sz w:val="24"/>
        </w:rPr>
        <w:t xml:space="preserve">Have the different measures of unconventional monetary policy by the </w:t>
      </w:r>
      <w:r>
        <w:rPr>
          <w:sz w:val="24"/>
        </w:rPr>
        <w:tab/>
      </w:r>
      <w:r>
        <w:rPr>
          <w:sz w:val="24"/>
        </w:rPr>
        <w:tab/>
      </w:r>
      <w:r>
        <w:rPr>
          <w:sz w:val="24"/>
        </w:rPr>
        <w:tab/>
      </w:r>
      <w:r>
        <w:rPr>
          <w:sz w:val="24"/>
        </w:rPr>
        <w:tab/>
      </w:r>
      <w:r>
        <w:rPr>
          <w:sz w:val="24"/>
        </w:rPr>
        <w:tab/>
      </w:r>
      <w:proofErr w:type="spellStart"/>
      <w:r w:rsidRPr="00267AE9">
        <w:rPr>
          <w:sz w:val="24"/>
        </w:rPr>
        <w:t>Eurosystem</w:t>
      </w:r>
      <w:proofErr w:type="spellEnd"/>
      <w:r w:rsidRPr="00267AE9">
        <w:rPr>
          <w:sz w:val="24"/>
        </w:rPr>
        <w:t xml:space="preserve"> been effective in sustaining the flow of finance in Europe’s </w:t>
      </w:r>
      <w:r>
        <w:rPr>
          <w:sz w:val="24"/>
        </w:rPr>
        <w:tab/>
      </w:r>
      <w:r>
        <w:rPr>
          <w:sz w:val="24"/>
        </w:rPr>
        <w:tab/>
      </w:r>
      <w:r>
        <w:rPr>
          <w:sz w:val="24"/>
        </w:rPr>
        <w:tab/>
      </w:r>
      <w:r>
        <w:rPr>
          <w:sz w:val="24"/>
        </w:rPr>
        <w:tab/>
      </w:r>
      <w:r>
        <w:rPr>
          <w:sz w:val="24"/>
        </w:rPr>
        <w:tab/>
      </w:r>
      <w:r w:rsidRPr="00267AE9">
        <w:rPr>
          <w:sz w:val="24"/>
        </w:rPr>
        <w:t>bank-based economy?</w:t>
      </w:r>
    </w:p>
    <w:p w:rsidR="00420FB2" w:rsidRDefault="00420FB2" w:rsidP="00420FB2">
      <w:pPr>
        <w:pStyle w:val="Plattetekst"/>
        <w:spacing w:before="10"/>
        <w:rPr>
          <w:b/>
          <w:sz w:val="20"/>
        </w:rPr>
      </w:pPr>
    </w:p>
    <w:p w:rsidR="00420FB2" w:rsidRDefault="00420FB2" w:rsidP="00420FB2">
      <w:pPr>
        <w:pStyle w:val="Lijstalinea"/>
        <w:numPr>
          <w:ilvl w:val="0"/>
          <w:numId w:val="3"/>
        </w:numPr>
        <w:tabs>
          <w:tab w:val="left" w:pos="1738"/>
        </w:tabs>
        <w:contextualSpacing w:val="0"/>
        <w:rPr>
          <w:b/>
          <w:sz w:val="24"/>
        </w:rPr>
      </w:pPr>
      <w:r>
        <w:rPr>
          <w:b/>
          <w:sz w:val="24"/>
        </w:rPr>
        <w:t>Data to be gathered (including</w:t>
      </w:r>
      <w:r>
        <w:rPr>
          <w:b/>
          <w:spacing w:val="-3"/>
          <w:sz w:val="24"/>
        </w:rPr>
        <w:t xml:space="preserve"> </w:t>
      </w:r>
      <w:r>
        <w:rPr>
          <w:b/>
          <w:sz w:val="24"/>
        </w:rPr>
        <w:t>location):</w:t>
      </w:r>
      <w:r>
        <w:rPr>
          <w:b/>
          <w:sz w:val="24"/>
        </w:rPr>
        <w:tab/>
      </w:r>
    </w:p>
    <w:p w:rsidR="00420FB2" w:rsidRPr="00AB127A" w:rsidRDefault="00420FB2" w:rsidP="00420FB2">
      <w:pPr>
        <w:tabs>
          <w:tab w:val="left" w:pos="1738"/>
        </w:tabs>
        <w:rPr>
          <w:b/>
          <w:sz w:val="24"/>
        </w:rPr>
      </w:pPr>
      <w:r>
        <w:rPr>
          <w:sz w:val="24"/>
        </w:rPr>
        <w:tab/>
      </w:r>
      <w:r w:rsidRPr="00AB127A">
        <w:rPr>
          <w:sz w:val="24"/>
        </w:rPr>
        <w:t>Financial and</w:t>
      </w:r>
      <w:r>
        <w:rPr>
          <w:sz w:val="24"/>
        </w:rPr>
        <w:t xml:space="preserve"> confidential</w:t>
      </w:r>
      <w:r w:rsidRPr="00AB127A">
        <w:rPr>
          <w:sz w:val="24"/>
        </w:rPr>
        <w:t xml:space="preserve"> monetary data, stemming from the GFDD, Bloomberg, </w:t>
      </w:r>
      <w:proofErr w:type="spellStart"/>
      <w:r w:rsidRPr="00AB127A">
        <w:rPr>
          <w:sz w:val="24"/>
        </w:rPr>
        <w:t>Eurosystem</w:t>
      </w:r>
      <w:proofErr w:type="spellEnd"/>
      <w:r w:rsidRPr="00AB127A">
        <w:rPr>
          <w:sz w:val="24"/>
        </w:rPr>
        <w:t xml:space="preserve"> </w:t>
      </w:r>
      <w:r>
        <w:rPr>
          <w:sz w:val="24"/>
        </w:rPr>
        <w:tab/>
      </w:r>
      <w:r w:rsidRPr="00AB127A">
        <w:rPr>
          <w:sz w:val="24"/>
        </w:rPr>
        <w:t xml:space="preserve">Portfolio Management System, SDW, the Euro Area Monetary Policy Event-Study Database by </w:t>
      </w:r>
      <w:r>
        <w:rPr>
          <w:sz w:val="24"/>
        </w:rPr>
        <w:tab/>
      </w:r>
      <w:proofErr w:type="spellStart"/>
      <w:r w:rsidRPr="00AB127A">
        <w:rPr>
          <w:sz w:val="24"/>
        </w:rPr>
        <w:t>Altavilla</w:t>
      </w:r>
      <w:proofErr w:type="spellEnd"/>
      <w:r w:rsidRPr="00AB127A">
        <w:rPr>
          <w:sz w:val="24"/>
        </w:rPr>
        <w:t xml:space="preserve"> et al. (2019), IBSI, IMIR, Bank of England, Federal Reserve Bank</w:t>
      </w:r>
      <w:r w:rsidR="000F57C2">
        <w:rPr>
          <w:sz w:val="24"/>
        </w:rPr>
        <w:t>.</w:t>
      </w:r>
    </w:p>
    <w:p w:rsidR="00420FB2" w:rsidRDefault="00420FB2" w:rsidP="00420FB2">
      <w:pPr>
        <w:pStyle w:val="Plattetekst"/>
        <w:spacing w:before="1"/>
        <w:rPr>
          <w:b/>
          <w:sz w:val="21"/>
        </w:rPr>
      </w:pPr>
    </w:p>
    <w:p w:rsidR="00420FB2" w:rsidRDefault="00420FB2" w:rsidP="00420FB2">
      <w:pPr>
        <w:pStyle w:val="Lijstalinea"/>
        <w:numPr>
          <w:ilvl w:val="0"/>
          <w:numId w:val="3"/>
        </w:numPr>
        <w:tabs>
          <w:tab w:val="left" w:pos="1738"/>
        </w:tabs>
        <w:spacing w:line="275" w:lineRule="exact"/>
        <w:ind w:hanging="241"/>
        <w:contextualSpacing w:val="0"/>
        <w:rPr>
          <w:b/>
          <w:sz w:val="24"/>
        </w:rPr>
      </w:pPr>
      <w:r>
        <w:rPr>
          <w:b/>
          <w:sz w:val="24"/>
        </w:rPr>
        <w:t>Method of data collection (in case of personal data indicate the basis</w:t>
      </w:r>
      <w:r>
        <w:rPr>
          <w:b/>
          <w:spacing w:val="-15"/>
          <w:sz w:val="24"/>
        </w:rPr>
        <w:t xml:space="preserve"> </w:t>
      </w:r>
      <w:r>
        <w:rPr>
          <w:b/>
          <w:sz w:val="24"/>
        </w:rPr>
        <w:t>(</w:t>
      </w:r>
      <w:proofErr w:type="spellStart"/>
      <w:r>
        <w:rPr>
          <w:b/>
          <w:i/>
          <w:sz w:val="24"/>
        </w:rPr>
        <w:t>grondslag</w:t>
      </w:r>
      <w:proofErr w:type="spellEnd"/>
      <w:r>
        <w:rPr>
          <w:b/>
          <w:sz w:val="24"/>
        </w:rPr>
        <w:t>)):</w:t>
      </w:r>
    </w:p>
    <w:p w:rsidR="00420FB2" w:rsidRDefault="00420FB2" w:rsidP="00420FB2">
      <w:pPr>
        <w:spacing w:line="229" w:lineRule="exact"/>
        <w:ind w:left="1497"/>
        <w:rPr>
          <w:i/>
          <w:sz w:val="20"/>
        </w:rPr>
      </w:pPr>
      <w:r>
        <w:rPr>
          <w:sz w:val="20"/>
        </w:rPr>
        <w:t xml:space="preserve">Basis being either </w:t>
      </w:r>
      <w:r>
        <w:rPr>
          <w:i/>
          <w:sz w:val="20"/>
        </w:rPr>
        <w:t xml:space="preserve">informed consent </w:t>
      </w:r>
      <w:r>
        <w:rPr>
          <w:sz w:val="20"/>
        </w:rPr>
        <w:t xml:space="preserve">or </w:t>
      </w:r>
      <w:r>
        <w:rPr>
          <w:i/>
          <w:sz w:val="20"/>
        </w:rPr>
        <w:t>legitimate interest (academic research)</w:t>
      </w:r>
    </w:p>
    <w:p w:rsidR="00420FB2" w:rsidRDefault="00420FB2" w:rsidP="00420FB2">
      <w:pPr>
        <w:spacing w:line="229" w:lineRule="exact"/>
        <w:ind w:left="1497"/>
        <w:rPr>
          <w:sz w:val="24"/>
        </w:rPr>
      </w:pPr>
    </w:p>
    <w:p w:rsidR="00420FB2" w:rsidRPr="00AB127A" w:rsidRDefault="00420FB2" w:rsidP="00420FB2">
      <w:pPr>
        <w:spacing w:line="229" w:lineRule="exact"/>
        <w:ind w:left="1497"/>
        <w:rPr>
          <w:sz w:val="24"/>
        </w:rPr>
      </w:pPr>
      <w:r w:rsidRPr="00AB127A">
        <w:rPr>
          <w:sz w:val="24"/>
        </w:rPr>
        <w:t>Digitally into excel.</w:t>
      </w:r>
    </w:p>
    <w:p w:rsidR="00420FB2" w:rsidRDefault="00420FB2" w:rsidP="00420FB2">
      <w:pPr>
        <w:pStyle w:val="Plattetekst"/>
        <w:spacing w:before="10"/>
        <w:rPr>
          <w:i/>
          <w:sz w:val="23"/>
        </w:rPr>
      </w:pPr>
    </w:p>
    <w:p w:rsidR="00420FB2" w:rsidRDefault="00420FB2" w:rsidP="00420FB2">
      <w:pPr>
        <w:pStyle w:val="Kop2"/>
        <w:keepNext w:val="0"/>
        <w:keepLines w:val="0"/>
        <w:numPr>
          <w:ilvl w:val="0"/>
          <w:numId w:val="3"/>
        </w:numPr>
        <w:tabs>
          <w:tab w:val="left" w:pos="1750"/>
        </w:tabs>
        <w:spacing w:before="1" w:line="278" w:lineRule="auto"/>
        <w:ind w:left="1497" w:right="1107" w:firstLine="0"/>
      </w:pPr>
      <w:r>
        <w:t>Individuals involved in data gathering, data manipulation/editing and with access to the</w:t>
      </w:r>
      <w:r>
        <w:rPr>
          <w:spacing w:val="-2"/>
        </w:rPr>
        <w:t xml:space="preserve"> </w:t>
      </w:r>
      <w:r>
        <w:t>data:</w:t>
      </w:r>
    </w:p>
    <w:p w:rsidR="00420FB2" w:rsidRPr="00420FB2" w:rsidRDefault="00420FB2" w:rsidP="00420FB2"/>
    <w:p w:rsidR="00420FB2" w:rsidRPr="00420FB2" w:rsidRDefault="00420FB2" w:rsidP="00420FB2">
      <w:pPr>
        <w:ind w:left="1418"/>
      </w:pPr>
      <w:r w:rsidRPr="000F57C2">
        <w:rPr>
          <w:sz w:val="24"/>
        </w:rPr>
        <w:t xml:space="preserve">Joost Bats, </w:t>
      </w:r>
      <w:r w:rsidR="000F57C2" w:rsidRPr="000F57C2">
        <w:rPr>
          <w:sz w:val="24"/>
        </w:rPr>
        <w:t>Tom Hudepohl</w:t>
      </w:r>
      <w:r w:rsidR="000F57C2">
        <w:t>.</w:t>
      </w:r>
    </w:p>
    <w:p w:rsidR="00420FB2" w:rsidRDefault="00420FB2" w:rsidP="00420FB2">
      <w:pPr>
        <w:pStyle w:val="Lijstalinea"/>
        <w:numPr>
          <w:ilvl w:val="0"/>
          <w:numId w:val="3"/>
        </w:numPr>
        <w:tabs>
          <w:tab w:val="left" w:pos="1738"/>
        </w:tabs>
        <w:spacing w:before="194"/>
        <w:ind w:hanging="241"/>
        <w:contextualSpacing w:val="0"/>
        <w:rPr>
          <w:b/>
          <w:sz w:val="24"/>
        </w:rPr>
      </w:pPr>
      <w:r>
        <w:rPr>
          <w:b/>
          <w:sz w:val="24"/>
        </w:rPr>
        <w:t>Data Protection Impact</w:t>
      </w:r>
      <w:r>
        <w:rPr>
          <w:b/>
          <w:spacing w:val="-2"/>
          <w:sz w:val="24"/>
        </w:rPr>
        <w:t xml:space="preserve"> </w:t>
      </w:r>
      <w:r>
        <w:rPr>
          <w:b/>
          <w:sz w:val="24"/>
        </w:rPr>
        <w:t>Assessment</w:t>
      </w:r>
      <w:r w:rsidR="000F57C2">
        <w:rPr>
          <w:b/>
          <w:sz w:val="24"/>
        </w:rPr>
        <w:t xml:space="preserve"> </w:t>
      </w:r>
      <w:r w:rsidR="000F57C2">
        <w:rPr>
          <w:sz w:val="24"/>
        </w:rPr>
        <w:t>(not required)</w:t>
      </w:r>
    </w:p>
    <w:p w:rsidR="00420FB2" w:rsidRDefault="00420FB2" w:rsidP="00420FB2">
      <w:pPr>
        <w:spacing w:before="2"/>
        <w:ind w:left="1497" w:right="569"/>
        <w:rPr>
          <w:sz w:val="20"/>
        </w:rPr>
      </w:pPr>
      <w:r>
        <w:rPr>
          <w:sz w:val="20"/>
        </w:rPr>
        <w:t>required when a processing operation “</w:t>
      </w:r>
      <w:r>
        <w:rPr>
          <w:i/>
          <w:sz w:val="20"/>
        </w:rPr>
        <w:t>is likely to result in a high risk to the rights and freedoms of natural person</w:t>
      </w:r>
      <w:r>
        <w:rPr>
          <w:sz w:val="20"/>
        </w:rPr>
        <w:t>”.</w:t>
      </w:r>
    </w:p>
    <w:p w:rsidR="00420FB2" w:rsidRDefault="00420FB2" w:rsidP="00420FB2">
      <w:pPr>
        <w:pStyle w:val="Plattetekst"/>
        <w:spacing w:before="5"/>
        <w:rPr>
          <w:sz w:val="11"/>
        </w:rPr>
      </w:pPr>
    </w:p>
    <w:p w:rsidR="00420FB2" w:rsidRDefault="00420FB2" w:rsidP="00420FB2">
      <w:pPr>
        <w:pStyle w:val="Lijstalinea"/>
        <w:numPr>
          <w:ilvl w:val="1"/>
          <w:numId w:val="3"/>
        </w:numPr>
        <w:tabs>
          <w:tab w:val="left" w:pos="2360"/>
        </w:tabs>
        <w:spacing w:before="100"/>
        <w:ind w:right="1958" w:firstLine="0"/>
        <w:contextualSpacing w:val="0"/>
        <w:rPr>
          <w:sz w:val="20"/>
        </w:rPr>
      </w:pPr>
      <w:r>
        <w:rPr>
          <w:sz w:val="20"/>
        </w:rPr>
        <w:t>a systematic description of the envisaged processing operations and the purposes of the processing, including where applicable the legitimate interest pursued by the</w:t>
      </w:r>
      <w:r>
        <w:rPr>
          <w:spacing w:val="-29"/>
          <w:sz w:val="20"/>
        </w:rPr>
        <w:t xml:space="preserve"> </w:t>
      </w:r>
      <w:r>
        <w:rPr>
          <w:sz w:val="20"/>
        </w:rPr>
        <w:t>controller;</w:t>
      </w:r>
    </w:p>
    <w:p w:rsidR="00420FB2" w:rsidRDefault="00420FB2" w:rsidP="00420FB2">
      <w:pPr>
        <w:pStyle w:val="Lijstalinea"/>
        <w:numPr>
          <w:ilvl w:val="1"/>
          <w:numId w:val="3"/>
        </w:numPr>
        <w:tabs>
          <w:tab w:val="left" w:pos="2360"/>
        </w:tabs>
        <w:ind w:right="1260" w:firstLine="0"/>
        <w:contextualSpacing w:val="0"/>
        <w:rPr>
          <w:sz w:val="20"/>
        </w:rPr>
      </w:pPr>
      <w:r>
        <w:rPr>
          <w:sz w:val="20"/>
        </w:rPr>
        <w:t>an assessment of the necessity and proportionality of the processing operations in relation to the purposes;</w:t>
      </w:r>
    </w:p>
    <w:p w:rsidR="00420FB2" w:rsidRDefault="00420FB2" w:rsidP="00420FB2">
      <w:pPr>
        <w:pStyle w:val="Lijstalinea"/>
        <w:numPr>
          <w:ilvl w:val="1"/>
          <w:numId w:val="3"/>
        </w:numPr>
        <w:tabs>
          <w:tab w:val="left" w:pos="2360"/>
        </w:tabs>
        <w:spacing w:before="2" w:line="237" w:lineRule="auto"/>
        <w:ind w:right="1147" w:firstLine="0"/>
        <w:contextualSpacing w:val="0"/>
        <w:rPr>
          <w:sz w:val="20"/>
        </w:rPr>
      </w:pPr>
      <w:r>
        <w:rPr>
          <w:sz w:val="20"/>
        </w:rPr>
        <w:t>an assessment of the risks to the rights and freedoms of data subjects that are likely to result from the processing (and in particular the origin, nature, particularity and severity of such risks);</w:t>
      </w:r>
      <w:r>
        <w:rPr>
          <w:spacing w:val="-25"/>
          <w:sz w:val="20"/>
        </w:rPr>
        <w:t xml:space="preserve"> </w:t>
      </w:r>
      <w:r>
        <w:rPr>
          <w:sz w:val="20"/>
        </w:rPr>
        <w:t>and</w:t>
      </w:r>
    </w:p>
    <w:p w:rsidR="00420FB2" w:rsidRDefault="00420FB2" w:rsidP="00420FB2">
      <w:pPr>
        <w:pStyle w:val="Lijstalinea"/>
        <w:numPr>
          <w:ilvl w:val="1"/>
          <w:numId w:val="3"/>
        </w:numPr>
        <w:tabs>
          <w:tab w:val="left" w:pos="2360"/>
        </w:tabs>
        <w:spacing w:before="1"/>
        <w:ind w:right="1163" w:firstLine="0"/>
        <w:contextualSpacing w:val="0"/>
        <w:rPr>
          <w:sz w:val="20"/>
        </w:rPr>
      </w:pPr>
      <w:r>
        <w:rPr>
          <w:sz w:val="20"/>
        </w:rPr>
        <w:t>the measures envisaged to address the risks, including safeguards, security measures and mechanisms</w:t>
      </w:r>
      <w:r>
        <w:rPr>
          <w:spacing w:val="-4"/>
          <w:sz w:val="20"/>
        </w:rPr>
        <w:t xml:space="preserve"> </w:t>
      </w:r>
      <w:r>
        <w:rPr>
          <w:sz w:val="20"/>
        </w:rPr>
        <w:t>to</w:t>
      </w:r>
      <w:r>
        <w:rPr>
          <w:spacing w:val="-1"/>
          <w:sz w:val="20"/>
        </w:rPr>
        <w:t xml:space="preserve"> </w:t>
      </w:r>
      <w:r>
        <w:rPr>
          <w:sz w:val="20"/>
        </w:rPr>
        <w:t>ensure</w:t>
      </w:r>
      <w:r>
        <w:rPr>
          <w:spacing w:val="-3"/>
          <w:sz w:val="20"/>
        </w:rPr>
        <w:t xml:space="preserve"> </w:t>
      </w:r>
      <w:r>
        <w:rPr>
          <w:sz w:val="20"/>
        </w:rPr>
        <w:t>the</w:t>
      </w:r>
      <w:r>
        <w:rPr>
          <w:spacing w:val="-4"/>
          <w:sz w:val="20"/>
        </w:rPr>
        <w:t xml:space="preserve"> </w:t>
      </w:r>
      <w:r>
        <w:rPr>
          <w:sz w:val="20"/>
        </w:rPr>
        <w:t>protection</w:t>
      </w:r>
      <w:r>
        <w:rPr>
          <w:spacing w:val="-2"/>
          <w:sz w:val="20"/>
        </w:rPr>
        <w:t xml:space="preserve"> </w:t>
      </w:r>
      <w:r>
        <w:rPr>
          <w:sz w:val="20"/>
        </w:rPr>
        <w:t>of</w:t>
      </w:r>
      <w:r>
        <w:rPr>
          <w:spacing w:val="-4"/>
          <w:sz w:val="20"/>
        </w:rPr>
        <w:t xml:space="preserve"> </w:t>
      </w:r>
      <w:r>
        <w:rPr>
          <w:sz w:val="20"/>
        </w:rPr>
        <w:t>personal</w:t>
      </w:r>
      <w:r>
        <w:rPr>
          <w:spacing w:val="-3"/>
          <w:sz w:val="20"/>
        </w:rPr>
        <w:t xml:space="preserve"> </w:t>
      </w:r>
      <w:r>
        <w:rPr>
          <w:sz w:val="20"/>
        </w:rPr>
        <w:t>data</w:t>
      </w:r>
      <w:r>
        <w:rPr>
          <w:spacing w:val="-2"/>
          <w:sz w:val="20"/>
        </w:rPr>
        <w:t xml:space="preserve"> </w:t>
      </w:r>
      <w:r>
        <w:rPr>
          <w:sz w:val="20"/>
        </w:rPr>
        <w:t>and</w:t>
      </w:r>
      <w:r>
        <w:rPr>
          <w:spacing w:val="-4"/>
          <w:sz w:val="20"/>
        </w:rPr>
        <w:t xml:space="preserve"> </w:t>
      </w:r>
      <w:r>
        <w:rPr>
          <w:sz w:val="20"/>
        </w:rPr>
        <w:t>demonstrate</w:t>
      </w:r>
      <w:r>
        <w:rPr>
          <w:spacing w:val="-2"/>
          <w:sz w:val="20"/>
        </w:rPr>
        <w:t xml:space="preserve"> </w:t>
      </w:r>
      <w:r>
        <w:rPr>
          <w:sz w:val="20"/>
        </w:rPr>
        <w:t>compliance</w:t>
      </w:r>
      <w:r>
        <w:rPr>
          <w:spacing w:val="-5"/>
          <w:sz w:val="20"/>
        </w:rPr>
        <w:t xml:space="preserve"> </w:t>
      </w:r>
      <w:r>
        <w:rPr>
          <w:sz w:val="20"/>
        </w:rPr>
        <w:t>with</w:t>
      </w:r>
      <w:r>
        <w:rPr>
          <w:spacing w:val="-1"/>
          <w:sz w:val="20"/>
        </w:rPr>
        <w:t xml:space="preserve"> </w:t>
      </w:r>
      <w:r>
        <w:rPr>
          <w:sz w:val="20"/>
        </w:rPr>
        <w:t>the</w:t>
      </w:r>
      <w:r>
        <w:rPr>
          <w:spacing w:val="-3"/>
          <w:sz w:val="20"/>
        </w:rPr>
        <w:t xml:space="preserve"> </w:t>
      </w:r>
      <w:r>
        <w:rPr>
          <w:sz w:val="20"/>
        </w:rPr>
        <w:t>GDPR.</w:t>
      </w:r>
    </w:p>
    <w:p w:rsidR="00420FB2" w:rsidRDefault="00420FB2" w:rsidP="00420FB2">
      <w:pPr>
        <w:pStyle w:val="Plattetekst"/>
        <w:rPr>
          <w:sz w:val="22"/>
        </w:rPr>
      </w:pPr>
    </w:p>
    <w:p w:rsidR="00420FB2" w:rsidRDefault="00420FB2" w:rsidP="00420FB2">
      <w:pPr>
        <w:pStyle w:val="Plattetekst"/>
        <w:spacing w:before="1"/>
        <w:rPr>
          <w:sz w:val="23"/>
        </w:rPr>
      </w:pPr>
    </w:p>
    <w:p w:rsidR="00420FB2" w:rsidRDefault="00420FB2" w:rsidP="00420FB2">
      <w:pPr>
        <w:ind w:left="1497"/>
        <w:rPr>
          <w:sz w:val="20"/>
        </w:rPr>
      </w:pPr>
      <w:r>
        <w:rPr>
          <w:sz w:val="20"/>
        </w:rPr>
        <w:t>Practically speaking a DPIA is needed when two or more of the casus below are applicable:</w:t>
      </w:r>
    </w:p>
    <w:p w:rsidR="00420FB2" w:rsidRDefault="00420FB2" w:rsidP="00420FB2">
      <w:pPr>
        <w:pStyle w:val="Plattetekst"/>
        <w:spacing w:before="5"/>
        <w:rPr>
          <w:sz w:val="20"/>
        </w:rPr>
      </w:pPr>
    </w:p>
    <w:p w:rsidR="00420FB2" w:rsidRDefault="00420FB2" w:rsidP="00420FB2">
      <w:pPr>
        <w:pStyle w:val="Lijstalinea"/>
        <w:numPr>
          <w:ilvl w:val="1"/>
          <w:numId w:val="3"/>
        </w:numPr>
        <w:tabs>
          <w:tab w:val="left" w:pos="2350"/>
        </w:tabs>
        <w:ind w:left="2349" w:hanging="145"/>
        <w:contextualSpacing w:val="0"/>
        <w:rPr>
          <w:sz w:val="20"/>
        </w:rPr>
      </w:pPr>
      <w:r>
        <w:rPr>
          <w:sz w:val="20"/>
        </w:rPr>
        <w:t>Assessing people based on personal</w:t>
      </w:r>
      <w:r>
        <w:rPr>
          <w:spacing w:val="-1"/>
          <w:sz w:val="20"/>
        </w:rPr>
        <w:t xml:space="preserve"> </w:t>
      </w:r>
      <w:r>
        <w:rPr>
          <w:sz w:val="20"/>
        </w:rPr>
        <w:t>characteristics</w:t>
      </w:r>
    </w:p>
    <w:p w:rsidR="00420FB2" w:rsidRDefault="00420FB2" w:rsidP="00420FB2">
      <w:pPr>
        <w:pStyle w:val="Lijstalinea"/>
        <w:numPr>
          <w:ilvl w:val="1"/>
          <w:numId w:val="3"/>
        </w:numPr>
        <w:tabs>
          <w:tab w:val="left" w:pos="2350"/>
        </w:tabs>
        <w:spacing w:before="34"/>
        <w:ind w:left="2349" w:hanging="145"/>
        <w:contextualSpacing w:val="0"/>
        <w:rPr>
          <w:sz w:val="20"/>
        </w:rPr>
      </w:pPr>
      <w:r>
        <w:rPr>
          <w:sz w:val="20"/>
        </w:rPr>
        <w:t>Automated decision</w:t>
      </w:r>
      <w:r>
        <w:rPr>
          <w:spacing w:val="1"/>
          <w:sz w:val="20"/>
        </w:rPr>
        <w:t xml:space="preserve"> </w:t>
      </w:r>
      <w:r>
        <w:rPr>
          <w:sz w:val="20"/>
        </w:rPr>
        <w:t>making</w:t>
      </w:r>
    </w:p>
    <w:p w:rsidR="00420FB2" w:rsidRDefault="00420FB2" w:rsidP="00420FB2">
      <w:pPr>
        <w:pStyle w:val="Lijstalinea"/>
        <w:numPr>
          <w:ilvl w:val="1"/>
          <w:numId w:val="3"/>
        </w:numPr>
        <w:tabs>
          <w:tab w:val="left" w:pos="2350"/>
        </w:tabs>
        <w:spacing w:before="33"/>
        <w:ind w:left="2349" w:hanging="145"/>
        <w:contextualSpacing w:val="0"/>
        <w:rPr>
          <w:sz w:val="20"/>
        </w:rPr>
      </w:pPr>
      <w:r>
        <w:rPr>
          <w:sz w:val="20"/>
        </w:rPr>
        <w:t>Structured and large-scale</w:t>
      </w:r>
      <w:r>
        <w:rPr>
          <w:spacing w:val="1"/>
          <w:sz w:val="20"/>
        </w:rPr>
        <w:t xml:space="preserve"> </w:t>
      </w:r>
      <w:r>
        <w:rPr>
          <w:sz w:val="20"/>
        </w:rPr>
        <w:t>monitoring</w:t>
      </w:r>
    </w:p>
    <w:p w:rsidR="00420FB2" w:rsidRDefault="00420FB2" w:rsidP="00420FB2">
      <w:pPr>
        <w:pStyle w:val="Lijstalinea"/>
        <w:numPr>
          <w:ilvl w:val="1"/>
          <w:numId w:val="3"/>
        </w:numPr>
        <w:tabs>
          <w:tab w:val="left" w:pos="2350"/>
        </w:tabs>
        <w:spacing w:before="34"/>
        <w:ind w:left="2349" w:hanging="145"/>
        <w:contextualSpacing w:val="0"/>
        <w:rPr>
          <w:sz w:val="20"/>
        </w:rPr>
      </w:pPr>
      <w:r>
        <w:rPr>
          <w:sz w:val="20"/>
        </w:rPr>
        <w:t>Sensitive personal</w:t>
      </w:r>
      <w:r>
        <w:rPr>
          <w:spacing w:val="-1"/>
          <w:sz w:val="20"/>
        </w:rPr>
        <w:t xml:space="preserve"> </w:t>
      </w:r>
      <w:r>
        <w:rPr>
          <w:sz w:val="20"/>
        </w:rPr>
        <w:t>data</w:t>
      </w:r>
    </w:p>
    <w:p w:rsidR="00420FB2" w:rsidRDefault="00420FB2" w:rsidP="00420FB2">
      <w:pPr>
        <w:pStyle w:val="Lijstalinea"/>
        <w:numPr>
          <w:ilvl w:val="1"/>
          <w:numId w:val="3"/>
        </w:numPr>
        <w:tabs>
          <w:tab w:val="left" w:pos="2350"/>
        </w:tabs>
        <w:spacing w:before="33"/>
        <w:ind w:left="2349" w:hanging="145"/>
        <w:contextualSpacing w:val="0"/>
        <w:rPr>
          <w:sz w:val="20"/>
        </w:rPr>
      </w:pPr>
      <w:r>
        <w:rPr>
          <w:sz w:val="20"/>
        </w:rPr>
        <w:t>Large-scale data</w:t>
      </w:r>
      <w:r>
        <w:rPr>
          <w:spacing w:val="-1"/>
          <w:sz w:val="20"/>
        </w:rPr>
        <w:t xml:space="preserve"> </w:t>
      </w:r>
      <w:r>
        <w:rPr>
          <w:sz w:val="20"/>
        </w:rPr>
        <w:t>processing</w:t>
      </w:r>
    </w:p>
    <w:p w:rsidR="00420FB2" w:rsidRDefault="00420FB2" w:rsidP="00420FB2">
      <w:pPr>
        <w:pStyle w:val="Lijstalinea"/>
        <w:numPr>
          <w:ilvl w:val="1"/>
          <w:numId w:val="3"/>
        </w:numPr>
        <w:tabs>
          <w:tab w:val="left" w:pos="2350"/>
        </w:tabs>
        <w:spacing w:before="34"/>
        <w:ind w:left="2349" w:hanging="145"/>
        <w:contextualSpacing w:val="0"/>
        <w:rPr>
          <w:sz w:val="20"/>
        </w:rPr>
      </w:pPr>
      <w:r>
        <w:rPr>
          <w:sz w:val="20"/>
        </w:rPr>
        <w:t>Linked databases</w:t>
      </w:r>
    </w:p>
    <w:p w:rsidR="00420FB2" w:rsidRDefault="00420FB2" w:rsidP="00420FB2">
      <w:pPr>
        <w:pStyle w:val="Lijstalinea"/>
        <w:numPr>
          <w:ilvl w:val="1"/>
          <w:numId w:val="3"/>
        </w:numPr>
        <w:tabs>
          <w:tab w:val="left" w:pos="2350"/>
        </w:tabs>
        <w:spacing w:before="36"/>
        <w:ind w:left="2349" w:hanging="145"/>
        <w:contextualSpacing w:val="0"/>
        <w:rPr>
          <w:sz w:val="20"/>
        </w:rPr>
      </w:pPr>
      <w:r>
        <w:rPr>
          <w:sz w:val="20"/>
        </w:rPr>
        <w:t>Data on vulnerable persons</w:t>
      </w:r>
    </w:p>
    <w:p w:rsidR="00420FB2" w:rsidRDefault="00420FB2" w:rsidP="00420FB2">
      <w:pPr>
        <w:pStyle w:val="Lijstalinea"/>
        <w:numPr>
          <w:ilvl w:val="1"/>
          <w:numId w:val="3"/>
        </w:numPr>
        <w:tabs>
          <w:tab w:val="left" w:pos="2350"/>
        </w:tabs>
        <w:spacing w:before="33"/>
        <w:ind w:left="2349" w:hanging="145"/>
        <w:contextualSpacing w:val="0"/>
        <w:rPr>
          <w:sz w:val="20"/>
        </w:rPr>
      </w:pPr>
      <w:r>
        <w:rPr>
          <w:sz w:val="20"/>
        </w:rPr>
        <w:t>Use of new technologies</w:t>
      </w:r>
    </w:p>
    <w:p w:rsidR="00420FB2" w:rsidRDefault="00420FB2" w:rsidP="00420FB2">
      <w:pPr>
        <w:pStyle w:val="Lijstalinea"/>
        <w:numPr>
          <w:ilvl w:val="1"/>
          <w:numId w:val="3"/>
        </w:numPr>
        <w:tabs>
          <w:tab w:val="left" w:pos="2350"/>
        </w:tabs>
        <w:spacing w:before="33"/>
        <w:ind w:left="2349" w:hanging="145"/>
        <w:contextualSpacing w:val="0"/>
        <w:rPr>
          <w:sz w:val="20"/>
        </w:rPr>
      </w:pPr>
      <w:r>
        <w:rPr>
          <w:sz w:val="20"/>
        </w:rPr>
        <w:t>Blocking of (a) right(s), service(s) or</w:t>
      </w:r>
      <w:r>
        <w:rPr>
          <w:spacing w:val="1"/>
          <w:sz w:val="20"/>
        </w:rPr>
        <w:t xml:space="preserve"> </w:t>
      </w:r>
      <w:r>
        <w:rPr>
          <w:sz w:val="20"/>
        </w:rPr>
        <w:t>contract(s)</w:t>
      </w:r>
    </w:p>
    <w:p w:rsidR="00420FB2" w:rsidRDefault="00420FB2" w:rsidP="00420FB2">
      <w:pPr>
        <w:pStyle w:val="Plattetekst"/>
        <w:spacing w:before="3"/>
        <w:rPr>
          <w:sz w:val="20"/>
        </w:rPr>
      </w:pPr>
    </w:p>
    <w:p w:rsidR="00420FB2" w:rsidRDefault="00420FB2" w:rsidP="00420FB2">
      <w:pPr>
        <w:ind w:left="1497" w:right="569"/>
        <w:rPr>
          <w:sz w:val="20"/>
        </w:rPr>
        <w:sectPr w:rsidR="00420FB2">
          <w:pgSz w:w="11900" w:h="16850"/>
          <w:pgMar w:top="940" w:right="420" w:bottom="1060" w:left="180" w:header="488" w:footer="865" w:gutter="0"/>
          <w:cols w:space="708"/>
        </w:sectPr>
      </w:pPr>
      <w:r>
        <w:rPr>
          <w:sz w:val="20"/>
        </w:rPr>
        <w:t>When</w:t>
      </w:r>
      <w:r>
        <w:rPr>
          <w:spacing w:val="-10"/>
          <w:sz w:val="20"/>
        </w:rPr>
        <w:t xml:space="preserve"> </w:t>
      </w:r>
      <w:r>
        <w:rPr>
          <w:sz w:val="20"/>
        </w:rPr>
        <w:t>data</w:t>
      </w:r>
      <w:r>
        <w:rPr>
          <w:spacing w:val="-11"/>
          <w:sz w:val="20"/>
        </w:rPr>
        <w:t xml:space="preserve"> </w:t>
      </w:r>
      <w:r>
        <w:rPr>
          <w:sz w:val="20"/>
        </w:rPr>
        <w:t>on</w:t>
      </w:r>
      <w:r>
        <w:rPr>
          <w:spacing w:val="-10"/>
          <w:sz w:val="20"/>
        </w:rPr>
        <w:t xml:space="preserve"> </w:t>
      </w:r>
      <w:r>
        <w:rPr>
          <w:sz w:val="20"/>
        </w:rPr>
        <w:t>genetics</w:t>
      </w:r>
      <w:r>
        <w:rPr>
          <w:spacing w:val="-11"/>
          <w:sz w:val="20"/>
        </w:rPr>
        <w:t xml:space="preserve"> </w:t>
      </w:r>
      <w:r>
        <w:rPr>
          <w:sz w:val="20"/>
        </w:rPr>
        <w:t>and/or</w:t>
      </w:r>
      <w:r>
        <w:rPr>
          <w:spacing w:val="-11"/>
          <w:sz w:val="20"/>
        </w:rPr>
        <w:t xml:space="preserve"> </w:t>
      </w:r>
      <w:r>
        <w:rPr>
          <w:sz w:val="20"/>
        </w:rPr>
        <w:t>health</w:t>
      </w:r>
      <w:r>
        <w:rPr>
          <w:spacing w:val="-9"/>
          <w:sz w:val="20"/>
        </w:rPr>
        <w:t xml:space="preserve"> </w:t>
      </w:r>
      <w:r>
        <w:rPr>
          <w:sz w:val="20"/>
        </w:rPr>
        <w:t>is</w:t>
      </w:r>
      <w:r>
        <w:rPr>
          <w:spacing w:val="-12"/>
          <w:sz w:val="20"/>
        </w:rPr>
        <w:t xml:space="preserve"> </w:t>
      </w:r>
      <w:r>
        <w:rPr>
          <w:sz w:val="20"/>
        </w:rPr>
        <w:t>concerned,</w:t>
      </w:r>
      <w:r>
        <w:rPr>
          <w:spacing w:val="-11"/>
          <w:sz w:val="20"/>
        </w:rPr>
        <w:t xml:space="preserve"> </w:t>
      </w:r>
      <w:r>
        <w:rPr>
          <w:sz w:val="20"/>
        </w:rPr>
        <w:t>a</w:t>
      </w:r>
      <w:r>
        <w:rPr>
          <w:spacing w:val="-10"/>
          <w:sz w:val="20"/>
        </w:rPr>
        <w:t xml:space="preserve"> </w:t>
      </w:r>
      <w:r>
        <w:rPr>
          <w:sz w:val="20"/>
        </w:rPr>
        <w:t>DPIA</w:t>
      </w:r>
      <w:r>
        <w:rPr>
          <w:spacing w:val="-12"/>
          <w:sz w:val="20"/>
        </w:rPr>
        <w:t xml:space="preserve"> </w:t>
      </w:r>
      <w:r>
        <w:rPr>
          <w:sz w:val="20"/>
        </w:rPr>
        <w:t>is</w:t>
      </w:r>
      <w:r>
        <w:rPr>
          <w:spacing w:val="-10"/>
          <w:sz w:val="20"/>
        </w:rPr>
        <w:t xml:space="preserve"> </w:t>
      </w:r>
      <w:r>
        <w:rPr>
          <w:sz w:val="20"/>
        </w:rPr>
        <w:t>mandatory.</w:t>
      </w:r>
      <w:r>
        <w:rPr>
          <w:spacing w:val="-10"/>
          <w:sz w:val="20"/>
        </w:rPr>
        <w:t xml:space="preserve"> </w:t>
      </w:r>
      <w:r>
        <w:rPr>
          <w:sz w:val="20"/>
        </w:rPr>
        <w:t>Please</w:t>
      </w:r>
      <w:r>
        <w:rPr>
          <w:spacing w:val="-11"/>
          <w:sz w:val="20"/>
        </w:rPr>
        <w:t xml:space="preserve"> </w:t>
      </w:r>
      <w:r>
        <w:rPr>
          <w:sz w:val="20"/>
        </w:rPr>
        <w:t>contact</w:t>
      </w:r>
      <w:r>
        <w:rPr>
          <w:spacing w:val="-12"/>
          <w:sz w:val="20"/>
        </w:rPr>
        <w:t xml:space="preserve"> </w:t>
      </w:r>
      <w:r>
        <w:rPr>
          <w:sz w:val="20"/>
        </w:rPr>
        <w:t>the</w:t>
      </w:r>
      <w:r>
        <w:rPr>
          <w:spacing w:val="-8"/>
          <w:sz w:val="20"/>
        </w:rPr>
        <w:t xml:space="preserve"> </w:t>
      </w:r>
      <w:r>
        <w:rPr>
          <w:sz w:val="20"/>
        </w:rPr>
        <w:t>data</w:t>
      </w:r>
      <w:r>
        <w:rPr>
          <w:spacing w:val="-11"/>
          <w:sz w:val="20"/>
        </w:rPr>
        <w:t xml:space="preserve"> </w:t>
      </w:r>
      <w:r>
        <w:rPr>
          <w:sz w:val="20"/>
        </w:rPr>
        <w:t>steward</w:t>
      </w:r>
      <w:r>
        <w:rPr>
          <w:spacing w:val="-10"/>
          <w:sz w:val="20"/>
        </w:rPr>
        <w:t xml:space="preserve"> </w:t>
      </w:r>
      <w:r>
        <w:rPr>
          <w:sz w:val="20"/>
        </w:rPr>
        <w:t>when drafting a DPIA so we can guide you in the</w:t>
      </w:r>
      <w:r>
        <w:rPr>
          <w:spacing w:val="-3"/>
          <w:sz w:val="20"/>
        </w:rPr>
        <w:t xml:space="preserve"> </w:t>
      </w:r>
      <w:r>
        <w:rPr>
          <w:sz w:val="20"/>
        </w:rPr>
        <w:t>process.</w:t>
      </w:r>
    </w:p>
    <w:p w:rsidR="00420FB2" w:rsidRDefault="00420FB2" w:rsidP="00420FB2">
      <w:pPr>
        <w:pStyle w:val="Plattetekst"/>
        <w:rPr>
          <w:sz w:val="20"/>
        </w:rPr>
      </w:pPr>
    </w:p>
    <w:p w:rsidR="00420FB2" w:rsidRDefault="00420FB2" w:rsidP="00420FB2">
      <w:pPr>
        <w:pStyle w:val="Plattetekst"/>
        <w:rPr>
          <w:sz w:val="20"/>
        </w:rPr>
      </w:pPr>
    </w:p>
    <w:p w:rsidR="00420FB2" w:rsidRDefault="00420FB2" w:rsidP="00420FB2">
      <w:pPr>
        <w:pStyle w:val="Plattetekst"/>
        <w:spacing w:before="5"/>
        <w:rPr>
          <w:sz w:val="16"/>
        </w:rPr>
      </w:pPr>
    </w:p>
    <w:p w:rsidR="00420FB2" w:rsidRDefault="00420FB2" w:rsidP="00420FB2">
      <w:pPr>
        <w:pStyle w:val="Kop2"/>
        <w:keepNext w:val="0"/>
        <w:keepLines w:val="0"/>
        <w:numPr>
          <w:ilvl w:val="0"/>
          <w:numId w:val="3"/>
        </w:numPr>
        <w:tabs>
          <w:tab w:val="left" w:pos="1738"/>
        </w:tabs>
        <w:spacing w:before="90"/>
        <w:ind w:hanging="241"/>
      </w:pPr>
      <w:r>
        <w:t>Data editing/manipulation steps (e.g. SPSS Syntax files, R</w:t>
      </w:r>
      <w:r>
        <w:rPr>
          <w:spacing w:val="-5"/>
        </w:rPr>
        <w:t xml:space="preserve"> </w:t>
      </w:r>
      <w:r>
        <w:t>scripts).</w:t>
      </w:r>
    </w:p>
    <w:p w:rsidR="000F57C2" w:rsidRPr="000F57C2" w:rsidRDefault="000F57C2" w:rsidP="000F57C2">
      <w:pPr>
        <w:ind w:left="1418"/>
      </w:pPr>
    </w:p>
    <w:p w:rsidR="00420FB2" w:rsidRDefault="000F57C2" w:rsidP="000F57C2">
      <w:pPr>
        <w:pStyle w:val="Plattetekst"/>
        <w:spacing w:before="10"/>
        <w:ind w:left="1737"/>
      </w:pPr>
      <w:r w:rsidRPr="000F57C2">
        <w:t xml:space="preserve">Excel, Stata, </w:t>
      </w:r>
      <w:proofErr w:type="spellStart"/>
      <w:r w:rsidRPr="000F57C2">
        <w:t>Eviews</w:t>
      </w:r>
      <w:proofErr w:type="spellEnd"/>
    </w:p>
    <w:p w:rsidR="000F57C2" w:rsidRPr="000F57C2" w:rsidRDefault="000F57C2" w:rsidP="000F57C2">
      <w:pPr>
        <w:pStyle w:val="Plattetekst"/>
        <w:spacing w:before="10"/>
        <w:ind w:left="1737"/>
      </w:pPr>
    </w:p>
    <w:p w:rsidR="00420FB2" w:rsidRDefault="00420FB2" w:rsidP="00420FB2">
      <w:pPr>
        <w:pStyle w:val="Lijstalinea"/>
        <w:numPr>
          <w:ilvl w:val="0"/>
          <w:numId w:val="3"/>
        </w:numPr>
        <w:tabs>
          <w:tab w:val="left" w:pos="1858"/>
        </w:tabs>
        <w:spacing w:line="276" w:lineRule="auto"/>
        <w:ind w:left="1497" w:right="1110" w:firstLine="0"/>
        <w:contextualSpacing w:val="0"/>
        <w:rPr>
          <w:b/>
          <w:sz w:val="24"/>
        </w:rPr>
      </w:pPr>
      <w:r>
        <w:rPr>
          <w:b/>
          <w:sz w:val="24"/>
        </w:rPr>
        <w:t>Where and how will the data be stored (including temporary storage for research use) and security measures</w:t>
      </w:r>
      <w:r>
        <w:rPr>
          <w:b/>
          <w:spacing w:val="-2"/>
          <w:sz w:val="24"/>
        </w:rPr>
        <w:t xml:space="preserve"> </w:t>
      </w:r>
      <w:r>
        <w:rPr>
          <w:b/>
          <w:sz w:val="24"/>
        </w:rPr>
        <w:t>applied:</w:t>
      </w:r>
    </w:p>
    <w:p w:rsidR="000F57C2" w:rsidRDefault="000F57C2" w:rsidP="000F57C2">
      <w:pPr>
        <w:tabs>
          <w:tab w:val="left" w:pos="1858"/>
        </w:tabs>
        <w:spacing w:line="276" w:lineRule="auto"/>
        <w:ind w:right="1110"/>
        <w:rPr>
          <w:b/>
          <w:sz w:val="24"/>
        </w:rPr>
      </w:pPr>
      <w:r>
        <w:rPr>
          <w:b/>
          <w:sz w:val="24"/>
        </w:rPr>
        <w:tab/>
      </w:r>
    </w:p>
    <w:p w:rsidR="000F57C2" w:rsidRPr="000F57C2" w:rsidRDefault="000F57C2" w:rsidP="000F57C2">
      <w:pPr>
        <w:tabs>
          <w:tab w:val="left" w:pos="1858"/>
        </w:tabs>
        <w:spacing w:line="276" w:lineRule="auto"/>
        <w:ind w:right="1110"/>
        <w:rPr>
          <w:sz w:val="24"/>
        </w:rPr>
      </w:pPr>
      <w:r>
        <w:rPr>
          <w:b/>
          <w:sz w:val="24"/>
        </w:rPr>
        <w:tab/>
      </w:r>
      <w:r>
        <w:rPr>
          <w:sz w:val="24"/>
        </w:rPr>
        <w:t xml:space="preserve">The data is stored in confidential folders of the RAN-account of </w:t>
      </w:r>
      <w:r>
        <w:rPr>
          <w:sz w:val="24"/>
        </w:rPr>
        <w:tab/>
        <w:t xml:space="preserve">De </w:t>
      </w:r>
      <w:proofErr w:type="spellStart"/>
      <w:r>
        <w:rPr>
          <w:sz w:val="24"/>
        </w:rPr>
        <w:t>Nederlandsche</w:t>
      </w:r>
      <w:proofErr w:type="spellEnd"/>
      <w:r>
        <w:rPr>
          <w:sz w:val="24"/>
        </w:rPr>
        <w:t xml:space="preserve"> Bank</w:t>
      </w:r>
    </w:p>
    <w:p w:rsidR="00420FB2" w:rsidRDefault="00420FB2" w:rsidP="00420FB2">
      <w:pPr>
        <w:pStyle w:val="Lijstalinea"/>
        <w:numPr>
          <w:ilvl w:val="0"/>
          <w:numId w:val="3"/>
        </w:numPr>
        <w:tabs>
          <w:tab w:val="left" w:pos="1889"/>
        </w:tabs>
        <w:spacing w:before="200" w:line="276" w:lineRule="auto"/>
        <w:ind w:left="1497" w:right="1112" w:firstLine="0"/>
        <w:contextualSpacing w:val="0"/>
        <w:rPr>
          <w:sz w:val="24"/>
        </w:rPr>
      </w:pPr>
      <w:r>
        <w:rPr>
          <w:b/>
          <w:sz w:val="24"/>
        </w:rPr>
        <w:t xml:space="preserve">Approval EBEC (Economics &amp; Business Ethics Committee) obtained: </w:t>
      </w:r>
      <w:r w:rsidR="000F57C2">
        <w:rPr>
          <w:sz w:val="24"/>
        </w:rPr>
        <w:t>No</w:t>
      </w:r>
    </w:p>
    <w:p w:rsidR="00420FB2" w:rsidRDefault="00420FB2" w:rsidP="00420FB2">
      <w:pPr>
        <w:pStyle w:val="Lijstalinea"/>
        <w:numPr>
          <w:ilvl w:val="0"/>
          <w:numId w:val="3"/>
        </w:numPr>
        <w:tabs>
          <w:tab w:val="left" w:pos="1858"/>
        </w:tabs>
        <w:spacing w:before="201"/>
        <w:ind w:left="1857" w:hanging="361"/>
        <w:contextualSpacing w:val="0"/>
        <w:rPr>
          <w:b/>
          <w:sz w:val="24"/>
        </w:rPr>
      </w:pPr>
      <w:r>
        <w:rPr>
          <w:b/>
          <w:sz w:val="24"/>
        </w:rPr>
        <w:t>Intellectual property, copyright and ownership of the</w:t>
      </w:r>
      <w:r>
        <w:rPr>
          <w:b/>
          <w:spacing w:val="-5"/>
          <w:sz w:val="24"/>
        </w:rPr>
        <w:t xml:space="preserve"> </w:t>
      </w:r>
      <w:r>
        <w:rPr>
          <w:b/>
          <w:sz w:val="24"/>
        </w:rPr>
        <w:t>data:</w:t>
      </w:r>
    </w:p>
    <w:p w:rsidR="00420FB2" w:rsidRDefault="00420FB2" w:rsidP="00420FB2">
      <w:pPr>
        <w:pStyle w:val="Plattetekst"/>
        <w:rPr>
          <w:b/>
          <w:sz w:val="26"/>
        </w:rPr>
      </w:pPr>
    </w:p>
    <w:p w:rsidR="00420FB2" w:rsidRDefault="00420FB2" w:rsidP="00420FB2">
      <w:pPr>
        <w:pStyle w:val="Plattetekst"/>
        <w:rPr>
          <w:b/>
          <w:sz w:val="26"/>
        </w:rPr>
      </w:pPr>
    </w:p>
    <w:p w:rsidR="00420FB2" w:rsidRDefault="00420FB2" w:rsidP="00420FB2">
      <w:pPr>
        <w:pStyle w:val="Plattetekst"/>
        <w:spacing w:before="160" w:line="276" w:lineRule="auto"/>
        <w:ind w:left="1497" w:right="569"/>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657225</wp:posOffset>
                </wp:positionH>
                <wp:positionV relativeFrom="paragraph">
                  <wp:posOffset>156209</wp:posOffset>
                </wp:positionV>
                <wp:extent cx="285750" cy="257175"/>
                <wp:effectExtent l="19050" t="19050" r="19050" b="2857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rect">
                          <a:avLst/>
                        </a:prstGeom>
                        <a:noFill/>
                        <a:ln w="38100">
                          <a:solidFill>
                            <a:srgbClr val="BDB51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57C2" w:rsidRPr="000F57C2" w:rsidRDefault="000F57C2" w:rsidP="000F57C2">
                            <w:pPr>
                              <w:rPr>
                                <w:b/>
                              </w:rPr>
                            </w:pPr>
                            <w:r w:rsidRPr="000F57C2">
                              <w:rPr>
                                <w:b/>
                              </w:rPr>
                              <w:t>X</w:t>
                            </w:r>
                          </w:p>
                          <w:p w:rsidR="000F57C2" w:rsidRDefault="000F57C2" w:rsidP="000F57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7" o:spid="_x0000_s1026" style="position:absolute;left:0;text-align:left;margin-left:51.75pt;margin-top:12.3pt;width:22.5pt;height: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" filled="f" strokecolor="#bdb511" strokeweight="3pt">
                <v:textbox>
                  <w:txbxContent>
                    <w:p w:rsidR="000F57C2" w:rsidRPr="000F57C2" w:rsidRDefault="000F57C2" w:rsidP="000F57C2">
                      <w:pPr>
                        <w:rPr>
                          <w:b/>
                        </w:rPr>
                      </w:pPr>
                      <w:r w:rsidRPr="000F57C2">
                        <w:rPr>
                          <w:b/>
                        </w:rPr>
                        <w:t>X</w:t>
                      </w:r>
                    </w:p>
                    <w:p w:rsidR="000F57C2" w:rsidRDefault="000F57C2" w:rsidP="000F57C2">
                      <w:pPr>
                        <w:jc w:val="center"/>
                      </w:pPr>
                    </w:p>
                  </w:txbxContent>
                </v:textbox>
                <w10:wrap anchorx="page"/>
              </v:rect>
            </w:pict>
          </mc:Fallback>
        </mc:AlternateContent>
      </w:r>
      <w:r>
        <w:t>The</w:t>
      </w:r>
      <w:r>
        <w:rPr>
          <w:spacing w:val="-10"/>
        </w:rPr>
        <w:t xml:space="preserve"> </w:t>
      </w:r>
      <w:r>
        <w:t>researcher</w:t>
      </w:r>
      <w:r>
        <w:rPr>
          <w:spacing w:val="-9"/>
        </w:rPr>
        <w:t xml:space="preserve"> </w:t>
      </w:r>
      <w:r w:rsidR="000F57C2" w:rsidRPr="000F57C2">
        <w:rPr>
          <w:b/>
        </w:rPr>
        <w:t>Joost Bats</w:t>
      </w:r>
      <w:r w:rsidR="000F57C2">
        <w:t xml:space="preserve"> </w:t>
      </w:r>
      <w:r>
        <w:t>hereby</w:t>
      </w:r>
      <w:r>
        <w:rPr>
          <w:spacing w:val="-9"/>
        </w:rPr>
        <w:t xml:space="preserve"> </w:t>
      </w:r>
      <w:r>
        <w:t>states</w:t>
      </w:r>
      <w:r>
        <w:rPr>
          <w:spacing w:val="-8"/>
        </w:rPr>
        <w:t xml:space="preserve"> </w:t>
      </w:r>
      <w:r>
        <w:t>that</w:t>
      </w:r>
      <w:r>
        <w:rPr>
          <w:spacing w:val="-8"/>
        </w:rPr>
        <w:t xml:space="preserve"> </w:t>
      </w:r>
      <w:r>
        <w:t>the</w:t>
      </w:r>
      <w:r>
        <w:rPr>
          <w:spacing w:val="-10"/>
        </w:rPr>
        <w:t xml:space="preserve"> </w:t>
      </w:r>
      <w:r>
        <w:t>data</w:t>
      </w:r>
      <w:r>
        <w:rPr>
          <w:spacing w:val="-10"/>
        </w:rPr>
        <w:t xml:space="preserve"> </w:t>
      </w:r>
      <w:r>
        <w:t>will</w:t>
      </w:r>
      <w:r>
        <w:rPr>
          <w:spacing w:val="-8"/>
        </w:rPr>
        <w:t xml:space="preserve"> </w:t>
      </w:r>
      <w:r>
        <w:t>be</w:t>
      </w:r>
      <w:r>
        <w:rPr>
          <w:spacing w:val="-10"/>
        </w:rPr>
        <w:t xml:space="preserve"> </w:t>
      </w:r>
      <w:r>
        <w:t>stored</w:t>
      </w:r>
      <w:r>
        <w:rPr>
          <w:spacing w:val="-8"/>
        </w:rPr>
        <w:t xml:space="preserve"> </w:t>
      </w:r>
      <w:r>
        <w:t>will</w:t>
      </w:r>
      <w:r>
        <w:rPr>
          <w:spacing w:val="-8"/>
        </w:rPr>
        <w:t xml:space="preserve"> </w:t>
      </w:r>
      <w:r>
        <w:t>be</w:t>
      </w:r>
      <w:r>
        <w:rPr>
          <w:spacing w:val="-10"/>
        </w:rPr>
        <w:t xml:space="preserve"> </w:t>
      </w:r>
      <w:r>
        <w:t>in</w:t>
      </w:r>
      <w:r>
        <w:rPr>
          <w:spacing w:val="-9"/>
        </w:rPr>
        <w:t xml:space="preserve"> </w:t>
      </w:r>
      <w:r>
        <w:t>line</w:t>
      </w:r>
      <w:r>
        <w:rPr>
          <w:spacing w:val="-10"/>
        </w:rPr>
        <w:t xml:space="preserve"> </w:t>
      </w:r>
      <w:r>
        <w:t>with</w:t>
      </w:r>
      <w:r>
        <w:rPr>
          <w:spacing w:val="-9"/>
        </w:rPr>
        <w:t xml:space="preserve"> </w:t>
      </w:r>
      <w:r>
        <w:t>the</w:t>
      </w:r>
      <w:r>
        <w:rPr>
          <w:spacing w:val="-10"/>
        </w:rPr>
        <w:t xml:space="preserve"> </w:t>
      </w:r>
      <w:r>
        <w:t>UvA guidelines and UvA EB protocol on</w:t>
      </w:r>
      <w:r>
        <w:rPr>
          <w:spacing w:val="1"/>
        </w:rPr>
        <w:t xml:space="preserve"> </w:t>
      </w:r>
      <w:r>
        <w:t>RDM.</w:t>
      </w:r>
    </w:p>
    <w:p w:rsidR="00A43539" w:rsidRPr="00F90D70" w:rsidRDefault="00A43539" w:rsidP="00F90D70"/>
    <w:sectPr w:rsidR="00A43539" w:rsidRPr="00F90D70" w:rsidSect="00420FB2">
      <w:headerReference w:type="default" r:id="rId8"/>
      <w:pgSz w:w="11906" w:h="16838"/>
      <w:pgMar w:top="3090" w:right="1274" w:bottom="1418" w:left="147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4B" w:rsidRDefault="00DF134B" w:rsidP="000A2A03">
      <w:r>
        <w:separator/>
      </w:r>
    </w:p>
  </w:endnote>
  <w:endnote w:type="continuationSeparator" w:id="0">
    <w:p w:rsidR="00DF134B" w:rsidRDefault="00DF134B" w:rsidP="000A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4B" w:rsidRDefault="00DF134B" w:rsidP="000A2A03">
      <w:r>
        <w:separator/>
      </w:r>
    </w:p>
  </w:footnote>
  <w:footnote w:type="continuationSeparator" w:id="0">
    <w:p w:rsidR="00DF134B" w:rsidRDefault="00DF134B" w:rsidP="000A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2E" w:rsidRDefault="00363C16">
    <w:pPr>
      <w:pStyle w:val="Koptekst"/>
    </w:pPr>
    <w:r>
      <w:rPr>
        <w:b/>
        <w:noProof/>
        <w:lang w:val="nl-NL" w:eastAsia="nl-NL"/>
      </w:rPr>
      <mc:AlternateContent>
        <mc:Choice Requires="wps">
          <w:drawing>
            <wp:anchor distT="0" distB="0" distL="114300" distR="114300" simplePos="0" relativeHeight="251661312" behindDoc="1" locked="0" layoutInCell="1" allowOverlap="1" wp14:anchorId="2C1752D8" wp14:editId="15D20036">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16" w:rsidRPr="00F424B5" w:rsidRDefault="00363C16" w:rsidP="00363C16">
                          <w:pPr>
                            <w:pStyle w:val="DNBmark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752D8" id="_x0000_t202" coordsize="21600,21600" o:spt="202" path="m,l,21600r21600,l21600,xe">
              <v:stroke joinstyle="miter"/>
              <v:path gradientshapeok="t" o:connecttype="rect"/>
            </v:shapetype>
            <v:shape id="Tekstvak 1" o:spid="_x0000_s1027"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rsidR="00363C16" w:rsidRPr="00F424B5" w:rsidRDefault="00363C16" w:rsidP="00363C16">
                    <w:pPr>
                      <w:pStyle w:val="DNBmarking"/>
                    </w:pPr>
                  </w:p>
                </w:txbxContent>
              </v:textbox>
              <w10:wrap anchorx="page" anchory="page"/>
            </v:shape>
          </w:pict>
        </mc:Fallback>
      </mc:AlternateContent>
    </w:r>
    <w:r w:rsidR="00555924">
      <w:rPr>
        <w:noProof/>
        <w:lang w:val="nl-NL" w:eastAsia="nl-NL"/>
      </w:rPr>
      <w:drawing>
        <wp:anchor distT="0" distB="0" distL="114300" distR="114300" simplePos="0" relativeHeight="251655168"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8"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val="nl-NL" w:eastAsia="nl-NL"/>
      </w:rPr>
      <w:drawing>
        <wp:anchor distT="0" distB="0" distL="114300" distR="114300" simplePos="0" relativeHeight="251656192"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9"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val="nl-NL" w:eastAsia="nl-NL"/>
      </w:rPr>
      <w:drawing>
        <wp:anchor distT="0" distB="0" distL="114300" distR="114300" simplePos="0" relativeHeight="251657216"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40"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val="nl-NL" w:eastAsia="nl-NL"/>
      </w:rPr>
      <w:drawing>
        <wp:anchor distT="0" distB="0" distL="114300" distR="114300" simplePos="0" relativeHeight="251658240"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41"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val="nl-NL" w:eastAsia="nl-NL"/>
      </w:rPr>
      <w:drawing>
        <wp:anchor distT="0" distB="0" distL="114300" distR="114300" simplePos="0" relativeHeight="251659264" behindDoc="0" locked="0" layoutInCell="1" allowOverlap="1">
          <wp:simplePos x="0" y="0"/>
          <wp:positionH relativeFrom="page">
            <wp:posOffset>824230</wp:posOffset>
          </wp:positionH>
          <wp:positionV relativeFrom="page">
            <wp:posOffset>118745</wp:posOffset>
          </wp:positionV>
          <wp:extent cx="1122840" cy="326520"/>
          <wp:effectExtent l="0" t="0" r="0" b="0"/>
          <wp:wrapNone/>
          <wp:docPr id="42"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96511CE"/>
    <w:multiLevelType w:val="hybridMultilevel"/>
    <w:tmpl w:val="649ABF3E"/>
    <w:lvl w:ilvl="0" w:tplc="1DC2F240">
      <w:start w:val="1"/>
      <w:numFmt w:val="decimal"/>
      <w:lvlText w:val="%1."/>
      <w:lvlJc w:val="left"/>
      <w:pPr>
        <w:ind w:left="1737" w:hanging="240"/>
        <w:jc w:val="left"/>
      </w:pPr>
      <w:rPr>
        <w:rFonts w:ascii="Times New Roman" w:eastAsia="Times New Roman" w:hAnsi="Times New Roman" w:cs="Times New Roman" w:hint="default"/>
        <w:b/>
        <w:bCs/>
        <w:spacing w:val="-1"/>
        <w:w w:val="100"/>
        <w:sz w:val="24"/>
        <w:szCs w:val="24"/>
      </w:rPr>
    </w:lvl>
    <w:lvl w:ilvl="1" w:tplc="3D58E450">
      <w:numFmt w:val="bullet"/>
      <w:lvlText w:val=""/>
      <w:lvlJc w:val="left"/>
      <w:pPr>
        <w:ind w:left="2217" w:hanging="142"/>
      </w:pPr>
      <w:rPr>
        <w:rFonts w:ascii="Symbol" w:eastAsia="Symbol" w:hAnsi="Symbol" w:cs="Symbol" w:hint="default"/>
        <w:w w:val="99"/>
        <w:sz w:val="20"/>
        <w:szCs w:val="20"/>
      </w:rPr>
    </w:lvl>
    <w:lvl w:ilvl="2" w:tplc="4C329B10">
      <w:numFmt w:val="bullet"/>
      <w:lvlText w:val="•"/>
      <w:lvlJc w:val="left"/>
      <w:pPr>
        <w:ind w:left="3228" w:hanging="142"/>
      </w:pPr>
      <w:rPr>
        <w:rFonts w:hint="default"/>
      </w:rPr>
    </w:lvl>
    <w:lvl w:ilvl="3" w:tplc="30C66DD0">
      <w:numFmt w:val="bullet"/>
      <w:lvlText w:val="•"/>
      <w:lvlJc w:val="left"/>
      <w:pPr>
        <w:ind w:left="4237" w:hanging="142"/>
      </w:pPr>
      <w:rPr>
        <w:rFonts w:hint="default"/>
      </w:rPr>
    </w:lvl>
    <w:lvl w:ilvl="4" w:tplc="352E7B0C">
      <w:numFmt w:val="bullet"/>
      <w:lvlText w:val="•"/>
      <w:lvlJc w:val="left"/>
      <w:pPr>
        <w:ind w:left="5246" w:hanging="142"/>
      </w:pPr>
      <w:rPr>
        <w:rFonts w:hint="default"/>
      </w:rPr>
    </w:lvl>
    <w:lvl w:ilvl="5" w:tplc="DDF82294">
      <w:numFmt w:val="bullet"/>
      <w:lvlText w:val="•"/>
      <w:lvlJc w:val="left"/>
      <w:pPr>
        <w:ind w:left="6255" w:hanging="142"/>
      </w:pPr>
      <w:rPr>
        <w:rFonts w:hint="default"/>
      </w:rPr>
    </w:lvl>
    <w:lvl w:ilvl="6" w:tplc="0B807CBA">
      <w:numFmt w:val="bullet"/>
      <w:lvlText w:val="•"/>
      <w:lvlJc w:val="left"/>
      <w:pPr>
        <w:ind w:left="7264" w:hanging="142"/>
      </w:pPr>
      <w:rPr>
        <w:rFonts w:hint="default"/>
      </w:rPr>
    </w:lvl>
    <w:lvl w:ilvl="7" w:tplc="4E547D50">
      <w:numFmt w:val="bullet"/>
      <w:lvlText w:val="•"/>
      <w:lvlJc w:val="left"/>
      <w:pPr>
        <w:ind w:left="8272" w:hanging="142"/>
      </w:pPr>
      <w:rPr>
        <w:rFonts w:hint="default"/>
      </w:rPr>
    </w:lvl>
    <w:lvl w:ilvl="8" w:tplc="FE9C4B84">
      <w:numFmt w:val="bullet"/>
      <w:lvlText w:val="•"/>
      <w:lvlJc w:val="left"/>
      <w:pPr>
        <w:ind w:left="9281" w:hanging="14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B2"/>
    <w:rsid w:val="00064BD2"/>
    <w:rsid w:val="00072501"/>
    <w:rsid w:val="000A2A03"/>
    <w:rsid w:val="000D36F9"/>
    <w:rsid w:val="000E543C"/>
    <w:rsid w:val="000F57C2"/>
    <w:rsid w:val="00102AE8"/>
    <w:rsid w:val="001B6FB1"/>
    <w:rsid w:val="00215B8E"/>
    <w:rsid w:val="00254C72"/>
    <w:rsid w:val="00276CD5"/>
    <w:rsid w:val="00282E10"/>
    <w:rsid w:val="0028552B"/>
    <w:rsid w:val="002A76D0"/>
    <w:rsid w:val="003252FB"/>
    <w:rsid w:val="00363C16"/>
    <w:rsid w:val="003F6E85"/>
    <w:rsid w:val="00420FB2"/>
    <w:rsid w:val="00446018"/>
    <w:rsid w:val="00453D32"/>
    <w:rsid w:val="00490378"/>
    <w:rsid w:val="004E4835"/>
    <w:rsid w:val="004F785D"/>
    <w:rsid w:val="0051444B"/>
    <w:rsid w:val="00535054"/>
    <w:rsid w:val="00537346"/>
    <w:rsid w:val="00555924"/>
    <w:rsid w:val="00556BF1"/>
    <w:rsid w:val="005A4644"/>
    <w:rsid w:val="005C0F2E"/>
    <w:rsid w:val="00622A44"/>
    <w:rsid w:val="00624786"/>
    <w:rsid w:val="00625831"/>
    <w:rsid w:val="007513D3"/>
    <w:rsid w:val="00777F98"/>
    <w:rsid w:val="007B659D"/>
    <w:rsid w:val="009147BF"/>
    <w:rsid w:val="0094396C"/>
    <w:rsid w:val="009B45A6"/>
    <w:rsid w:val="009B5D9A"/>
    <w:rsid w:val="009E3D1F"/>
    <w:rsid w:val="00A14848"/>
    <w:rsid w:val="00A43539"/>
    <w:rsid w:val="00A72B58"/>
    <w:rsid w:val="00AE4836"/>
    <w:rsid w:val="00B224FD"/>
    <w:rsid w:val="00C071BA"/>
    <w:rsid w:val="00C31C05"/>
    <w:rsid w:val="00C82654"/>
    <w:rsid w:val="00C93A75"/>
    <w:rsid w:val="00CA45F8"/>
    <w:rsid w:val="00D27A58"/>
    <w:rsid w:val="00D448F8"/>
    <w:rsid w:val="00DF134B"/>
    <w:rsid w:val="00E05E36"/>
    <w:rsid w:val="00E7266F"/>
    <w:rsid w:val="00E81517"/>
    <w:rsid w:val="00EA7370"/>
    <w:rsid w:val="00ED1905"/>
    <w:rsid w:val="00EE238F"/>
    <w:rsid w:val="00F17945"/>
    <w:rsid w:val="00F6785E"/>
    <w:rsid w:val="00F90D70"/>
    <w:rsid w:val="00FC2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930D62-30DE-4CAD-94E1-2B3A394D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420FB2"/>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1"/>
    <w:qFormat/>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rPr>
      <w:rFonts w:asciiTheme="minorHAnsi" w:hAnsiTheme="minorHAnsi"/>
      <w:color w:val="ADADAD"/>
      <w:sz w:val="12"/>
      <w:szCs w:val="12"/>
    </w:rPr>
  </w:style>
  <w:style w:type="paragraph" w:styleId="Plattetekst">
    <w:name w:val="Body Text"/>
    <w:basedOn w:val="Standaard"/>
    <w:link w:val="PlattetekstChar"/>
    <w:uiPriority w:val="1"/>
    <w:qFormat/>
    <w:rsid w:val="00420FB2"/>
    <w:rPr>
      <w:sz w:val="24"/>
      <w:szCs w:val="24"/>
    </w:rPr>
  </w:style>
  <w:style w:type="character" w:customStyle="1" w:styleId="PlattetekstChar">
    <w:name w:val="Platte tekst Char"/>
    <w:basedOn w:val="Standaardalinea-lettertype"/>
    <w:link w:val="Plattetekst"/>
    <w:uiPriority w:val="1"/>
    <w:rsid w:val="00420FB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A6B1-15C0-47C1-8368-18D503DE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481</Words>
  <Characters>2560</Characters>
  <Application>Microsoft Office Word</Application>
  <DocSecurity>0</DocSecurity>
  <Lines>160</Lines>
  <Paragraphs>121</Paragraphs>
  <ScaleCrop>false</ScaleCrop>
  <HeadingPairs>
    <vt:vector size="2" baseType="variant">
      <vt:variant>
        <vt:lpstr>Titel</vt:lpstr>
      </vt:variant>
      <vt:variant>
        <vt:i4>1</vt:i4>
      </vt:variant>
    </vt:vector>
  </HeadingPairs>
  <TitlesOfParts>
    <vt:vector size="1" baseType="lpstr">
      <vt:lpstr/>
    </vt:vector>
  </TitlesOfParts>
  <Company>De Nederlandsche Bank N.V.</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 J.V. (Joost) (FM_MO)</dc:creator>
  <cp:keywords/>
  <dc:description/>
  <cp:lastModifiedBy>Bats, J.V. (Joost) (FM_MO)</cp:lastModifiedBy>
  <cp:revision>2</cp:revision>
  <dcterms:created xsi:type="dcterms:W3CDTF">2021-01-19T09:20:00Z</dcterms:created>
  <dcterms:modified xsi:type="dcterms:W3CDTF">2021-01-22T12:34:00Z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ies>
</file>