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12D6" w14:textId="4DD1D814" w:rsidR="00AD66F3" w:rsidRPr="00AD66F3" w:rsidRDefault="00AD66F3" w:rsidP="00AD66F3">
      <w:pPr>
        <w:pStyle w:val="NormalWeb"/>
        <w:spacing w:line="480" w:lineRule="auto"/>
        <w:jc w:val="center"/>
        <w:rPr>
          <w:b/>
          <w:sz w:val="22"/>
          <w:szCs w:val="22"/>
        </w:rPr>
      </w:pPr>
      <w:r w:rsidRPr="00AD66F3">
        <w:rPr>
          <w:b/>
          <w:sz w:val="22"/>
          <w:szCs w:val="22"/>
        </w:rPr>
        <w:t>Protocol</w:t>
      </w:r>
      <w:r>
        <w:rPr>
          <w:b/>
          <w:sz w:val="22"/>
          <w:szCs w:val="22"/>
        </w:rPr>
        <w:t xml:space="preserve"> MS1</w:t>
      </w:r>
    </w:p>
    <w:p w14:paraId="1E72670D" w14:textId="10E4BC78" w:rsidR="00AD66F3" w:rsidRPr="00D61A75" w:rsidRDefault="00AD66F3" w:rsidP="00AD66F3">
      <w:pPr>
        <w:pStyle w:val="NormalWeb"/>
        <w:spacing w:line="480" w:lineRule="auto"/>
        <w:rPr>
          <w:i/>
          <w:sz w:val="20"/>
          <w:szCs w:val="22"/>
        </w:rPr>
      </w:pPr>
      <w:r>
        <w:rPr>
          <w:i/>
          <w:sz w:val="20"/>
          <w:szCs w:val="22"/>
        </w:rPr>
        <w:t>1.</w:t>
      </w:r>
      <w:r w:rsidRPr="00D61A75">
        <w:rPr>
          <w:i/>
          <w:sz w:val="20"/>
          <w:szCs w:val="22"/>
        </w:rPr>
        <w:t xml:space="preserve"> </w:t>
      </w:r>
      <w:r>
        <w:rPr>
          <w:i/>
          <w:sz w:val="20"/>
          <w:szCs w:val="22"/>
        </w:rPr>
        <w:t>S</w:t>
      </w:r>
      <w:r w:rsidRPr="00D61A75">
        <w:rPr>
          <w:i/>
          <w:sz w:val="20"/>
          <w:szCs w:val="22"/>
        </w:rPr>
        <w:t xml:space="preserve">ampling procedures </w:t>
      </w:r>
    </w:p>
    <w:p w14:paraId="25E823DC" w14:textId="6AAB2711" w:rsidR="00AD66F3" w:rsidRPr="00D61A75" w:rsidRDefault="00AD66F3" w:rsidP="00AD66F3">
      <w:pPr>
        <w:pStyle w:val="NormalWeb"/>
        <w:spacing w:line="480" w:lineRule="auto"/>
        <w:rPr>
          <w:sz w:val="20"/>
          <w:szCs w:val="22"/>
        </w:rPr>
      </w:pPr>
      <w:r w:rsidRPr="00C03984">
        <w:rPr>
          <w:sz w:val="20"/>
          <w:szCs w:val="22"/>
        </w:rPr>
        <w:t>The selection of the transect zones was based on lithology and altitude, with each zone containing contrasting bedrocks and wide ranges of altitude, as well as land use, grazing intensity, slope position and slope angle. Within the units the sample locations were selected at random. Lithology was classified into the classes of calcareous bedrocks (limestone and marl with thin shale intercalations) and acid bedrocks (granite, ignimbrite and quartzite). Land use was classified into 5 categories: grassland, cultivation, abandoned cultivation, cultivated grassland and forest</w:t>
      </w:r>
      <w:r>
        <w:rPr>
          <w:sz w:val="20"/>
          <w:szCs w:val="22"/>
        </w:rPr>
        <w:t xml:space="preserve">. </w:t>
      </w:r>
      <w:r w:rsidRPr="00C03984">
        <w:rPr>
          <w:sz w:val="20"/>
          <w:szCs w:val="22"/>
        </w:rPr>
        <w:t xml:space="preserve">Grazing intensity was estimated in the field and was ranked into 4 levels: none, low, medium and high. The criteria to rank grazing intensity were based on </w:t>
      </w:r>
      <w:bookmarkStart w:id="0" w:name="Mendeley_Bookmark_KdNaNbIYRk"/>
      <w:r w:rsidRPr="00C03984">
        <w:rPr>
          <w:sz w:val="20"/>
          <w:szCs w:val="22"/>
        </w:rPr>
        <w:t xml:space="preserve">the presence of  physical indications of grazing, plant density, as well as the replacement of tall native tussock grasses (e.g. </w:t>
      </w:r>
      <w:proofErr w:type="spellStart"/>
      <w:r w:rsidRPr="00C03984">
        <w:rPr>
          <w:i/>
          <w:sz w:val="20"/>
          <w:szCs w:val="22"/>
        </w:rPr>
        <w:t>Carex</w:t>
      </w:r>
      <w:proofErr w:type="spellEnd"/>
      <w:r w:rsidRPr="00C03984">
        <w:rPr>
          <w:i/>
          <w:sz w:val="20"/>
          <w:szCs w:val="22"/>
        </w:rPr>
        <w:t xml:space="preserve"> sp</w:t>
      </w:r>
      <w:r w:rsidRPr="00C03984">
        <w:rPr>
          <w:sz w:val="20"/>
          <w:szCs w:val="22"/>
        </w:rPr>
        <w:t xml:space="preserve">.) with shorter invasive grass species and matted herbs including </w:t>
      </w:r>
      <w:proofErr w:type="spellStart"/>
      <w:r w:rsidRPr="00C03984">
        <w:rPr>
          <w:i/>
          <w:sz w:val="20"/>
          <w:szCs w:val="22"/>
        </w:rPr>
        <w:t>Rumex</w:t>
      </w:r>
      <w:proofErr w:type="spellEnd"/>
      <w:r w:rsidRPr="00C03984">
        <w:rPr>
          <w:i/>
          <w:sz w:val="20"/>
          <w:szCs w:val="22"/>
        </w:rPr>
        <w:t xml:space="preserve"> sp</w:t>
      </w:r>
      <w:r w:rsidRPr="00C03984">
        <w:rPr>
          <w:sz w:val="20"/>
          <w:szCs w:val="22"/>
        </w:rPr>
        <w:t>.</w:t>
      </w:r>
      <w:bookmarkEnd w:id="0"/>
      <w:r w:rsidRPr="00C03984">
        <w:rPr>
          <w:sz w:val="20"/>
          <w:szCs w:val="22"/>
        </w:rPr>
        <w:t>. Slope position was classified into 3 groups: top, slope and valley bottom. Furthermore, slope angle</w:t>
      </w:r>
      <w:r w:rsidRPr="00D61A75">
        <w:rPr>
          <w:sz w:val="20"/>
          <w:szCs w:val="22"/>
        </w:rPr>
        <w:t xml:space="preserve"> and altit</w:t>
      </w:r>
      <w:r>
        <w:rPr>
          <w:sz w:val="20"/>
          <w:szCs w:val="22"/>
        </w:rPr>
        <w:t xml:space="preserve">ude were measured and recorded </w:t>
      </w:r>
      <w:r w:rsidRPr="00D61A75">
        <w:rPr>
          <w:sz w:val="20"/>
          <w:szCs w:val="22"/>
        </w:rPr>
        <w:t xml:space="preserve">as numeric variables. </w:t>
      </w:r>
    </w:p>
    <w:p w14:paraId="55B462FF" w14:textId="67D7E9E6" w:rsidR="00AD66F3" w:rsidRPr="00D61A75" w:rsidRDefault="00AD66F3" w:rsidP="00AD66F3">
      <w:pPr>
        <w:pStyle w:val="NormalWeb"/>
        <w:spacing w:line="480" w:lineRule="auto"/>
        <w:rPr>
          <w:sz w:val="20"/>
          <w:szCs w:val="22"/>
        </w:rPr>
      </w:pPr>
      <w:r w:rsidRPr="00C03984">
        <w:rPr>
          <w:sz w:val="20"/>
          <w:szCs w:val="22"/>
        </w:rPr>
        <w:t xml:space="preserve">We took one complete soil profile per sampling point and divided these into sections of 10 cm, starting from the top until the C or R horizon was reached. Soil depth was defined from the ground level to the top of the </w:t>
      </w:r>
      <w:r w:rsidRPr="00D61A75">
        <w:rPr>
          <w:sz w:val="20"/>
          <w:szCs w:val="22"/>
        </w:rPr>
        <w:t xml:space="preserve">C or R horizon and measured below the ground level. Undisturbed samples were collected from the representative layers with </w:t>
      </w:r>
      <w:proofErr w:type="spellStart"/>
      <w:r w:rsidRPr="00D61A75">
        <w:rPr>
          <w:sz w:val="20"/>
          <w:szCs w:val="22"/>
        </w:rPr>
        <w:t>Kopecky</w:t>
      </w:r>
      <w:proofErr w:type="spellEnd"/>
      <w:r w:rsidRPr="00D61A75">
        <w:rPr>
          <w:sz w:val="20"/>
          <w:szCs w:val="22"/>
        </w:rPr>
        <w:t xml:space="preserve"> rings (100 cm</w:t>
      </w:r>
      <w:r w:rsidRPr="00D61A75">
        <w:rPr>
          <w:sz w:val="20"/>
          <w:szCs w:val="22"/>
          <w:vertAlign w:val="superscript"/>
        </w:rPr>
        <w:t>-3</w:t>
      </w:r>
      <w:r w:rsidRPr="00D61A75">
        <w:rPr>
          <w:sz w:val="20"/>
          <w:szCs w:val="22"/>
        </w:rPr>
        <w:t xml:space="preserve">) in order to determine bulk density </w:t>
      </w:r>
      <w:r>
        <w:rPr>
          <w:sz w:val="20"/>
          <w:szCs w:val="22"/>
        </w:rPr>
        <w:t xml:space="preserve">using </w:t>
      </w:r>
      <w:r w:rsidRPr="00D61A75">
        <w:rPr>
          <w:sz w:val="20"/>
          <w:szCs w:val="22"/>
        </w:rPr>
        <w:t>the core method</w:t>
      </w:r>
      <w:r>
        <w:rPr>
          <w:sz w:val="20"/>
          <w:szCs w:val="22"/>
        </w:rPr>
        <w:t xml:space="preserve">. </w:t>
      </w:r>
      <w:r w:rsidRPr="00D61A75">
        <w:rPr>
          <w:sz w:val="20"/>
          <w:szCs w:val="22"/>
        </w:rPr>
        <w:t>Afterwards, all samples were weighted and transferred into sealed plastic bags before transportation.</w:t>
      </w:r>
    </w:p>
    <w:p w14:paraId="0446B3B2" w14:textId="00C33B21" w:rsidR="00AD66F3" w:rsidRPr="00D61A75" w:rsidRDefault="00AD66F3" w:rsidP="00AD66F3">
      <w:pPr>
        <w:pStyle w:val="NormalWeb"/>
        <w:spacing w:line="480" w:lineRule="auto"/>
        <w:rPr>
          <w:i/>
          <w:sz w:val="20"/>
          <w:szCs w:val="22"/>
        </w:rPr>
      </w:pPr>
      <w:r>
        <w:rPr>
          <w:i/>
          <w:sz w:val="20"/>
          <w:szCs w:val="22"/>
        </w:rPr>
        <w:t>2.</w:t>
      </w:r>
      <w:r w:rsidRPr="00D61A75">
        <w:rPr>
          <w:i/>
          <w:sz w:val="20"/>
          <w:szCs w:val="22"/>
        </w:rPr>
        <w:t xml:space="preserve"> </w:t>
      </w:r>
      <w:r>
        <w:rPr>
          <w:i/>
          <w:sz w:val="20"/>
          <w:szCs w:val="22"/>
        </w:rPr>
        <w:t>L</w:t>
      </w:r>
      <w:r w:rsidRPr="00D61A75">
        <w:rPr>
          <w:i/>
          <w:sz w:val="20"/>
          <w:szCs w:val="22"/>
        </w:rPr>
        <w:t xml:space="preserve">aboratory analysis </w:t>
      </w:r>
    </w:p>
    <w:p w14:paraId="27686C16" w14:textId="77777777" w:rsidR="00AD66F3" w:rsidRPr="00D61A75" w:rsidRDefault="00AD66F3" w:rsidP="00AD66F3">
      <w:pPr>
        <w:pStyle w:val="NormalWeb"/>
        <w:spacing w:line="480" w:lineRule="auto"/>
        <w:rPr>
          <w:sz w:val="20"/>
          <w:szCs w:val="22"/>
        </w:rPr>
      </w:pPr>
      <w:r w:rsidRPr="00D61A75">
        <w:rPr>
          <w:sz w:val="20"/>
          <w:szCs w:val="22"/>
        </w:rPr>
        <w:t>Soil bulk density was measured by weighing the intact ring samples after oven-drying at 105°C, and calculated with the volume of 100cm</w:t>
      </w:r>
      <w:r w:rsidRPr="00D61A75">
        <w:rPr>
          <w:sz w:val="20"/>
          <w:szCs w:val="22"/>
          <w:vertAlign w:val="superscript"/>
        </w:rPr>
        <w:t>3</w:t>
      </w:r>
      <w:r w:rsidRPr="00D61A75">
        <w:rPr>
          <w:sz w:val="20"/>
          <w:szCs w:val="22"/>
        </w:rPr>
        <w:t>. Field moisture contents were measured by weighing ring samples before and after oven-drying. pH values were measured using a glass electrode with H</w:t>
      </w:r>
      <w:r w:rsidRPr="00D61A75">
        <w:rPr>
          <w:sz w:val="20"/>
          <w:szCs w:val="22"/>
          <w:vertAlign w:val="subscript"/>
        </w:rPr>
        <w:t>2</w:t>
      </w:r>
      <w:r w:rsidRPr="00D61A75">
        <w:rPr>
          <w:sz w:val="20"/>
          <w:szCs w:val="22"/>
        </w:rPr>
        <w:t xml:space="preserve">O (w/v=1:5) following the standard protocol of </w:t>
      </w:r>
      <w:bookmarkStart w:id="1" w:name="Mendeley_Bookmark_FaYAREDfgT"/>
      <w:r w:rsidRPr="00D61A75">
        <w:rPr>
          <w:sz w:val="20"/>
          <w:szCs w:val="22"/>
        </w:rPr>
        <w:t>Bates (1973)</w:t>
      </w:r>
      <w:bookmarkEnd w:id="1"/>
      <w:r w:rsidRPr="00D61A75">
        <w:rPr>
          <w:sz w:val="20"/>
          <w:szCs w:val="22"/>
        </w:rPr>
        <w:t xml:space="preserve">. Total carbon, nitrogen and inorganic carbon contents were measured with a </w:t>
      </w:r>
      <w:proofErr w:type="spellStart"/>
      <w:r w:rsidRPr="00D61A75">
        <w:rPr>
          <w:sz w:val="20"/>
          <w:szCs w:val="22"/>
        </w:rPr>
        <w:t>VarioEL</w:t>
      </w:r>
      <w:proofErr w:type="spellEnd"/>
      <w:r w:rsidRPr="00D61A75">
        <w:rPr>
          <w:sz w:val="20"/>
          <w:szCs w:val="22"/>
        </w:rPr>
        <w:t xml:space="preserve"> </w:t>
      </w:r>
      <w:proofErr w:type="spellStart"/>
      <w:r w:rsidRPr="00D61A75">
        <w:rPr>
          <w:sz w:val="20"/>
          <w:szCs w:val="22"/>
        </w:rPr>
        <w:t>Elementar</w:t>
      </w:r>
      <w:proofErr w:type="spellEnd"/>
      <w:r w:rsidRPr="00D61A75">
        <w:rPr>
          <w:sz w:val="20"/>
          <w:szCs w:val="22"/>
        </w:rPr>
        <w:t xml:space="preserve"> analyzer (</w:t>
      </w:r>
      <w:proofErr w:type="spellStart"/>
      <w:r w:rsidRPr="00D61A75">
        <w:rPr>
          <w:sz w:val="20"/>
          <w:szCs w:val="22"/>
        </w:rPr>
        <w:t>Elementar</w:t>
      </w:r>
      <w:proofErr w:type="spellEnd"/>
      <w:r w:rsidRPr="00D61A75">
        <w:rPr>
          <w:sz w:val="20"/>
          <w:szCs w:val="22"/>
        </w:rPr>
        <w:t xml:space="preserve">, Germany) with an </w:t>
      </w:r>
      <w:r>
        <w:rPr>
          <w:sz w:val="20"/>
          <w:szCs w:val="22"/>
        </w:rPr>
        <w:t>extension for inorganic carbon.</w:t>
      </w:r>
      <w:r w:rsidRPr="00D61A75">
        <w:rPr>
          <w:sz w:val="20"/>
          <w:szCs w:val="22"/>
        </w:rPr>
        <w:t xml:space="preserve"> Total organic carbon </w:t>
      </w:r>
      <w:r>
        <w:rPr>
          <w:sz w:val="20"/>
          <w:szCs w:val="22"/>
        </w:rPr>
        <w:t>concentrations</w:t>
      </w:r>
      <w:r w:rsidRPr="00D61A75">
        <w:rPr>
          <w:sz w:val="20"/>
          <w:szCs w:val="22"/>
        </w:rPr>
        <w:t xml:space="preserve"> were calculated by subtracting inorganic carbon c</w:t>
      </w:r>
      <w:r>
        <w:rPr>
          <w:sz w:val="20"/>
          <w:szCs w:val="22"/>
        </w:rPr>
        <w:t>oncentrations from total carbon concentrations</w:t>
      </w:r>
      <w:r w:rsidRPr="00D61A75">
        <w:rPr>
          <w:sz w:val="20"/>
          <w:szCs w:val="22"/>
        </w:rPr>
        <w:t xml:space="preserve">. </w:t>
      </w:r>
    </w:p>
    <w:p w14:paraId="6C075936" w14:textId="77777777" w:rsidR="00AD66F3" w:rsidRPr="00D61A75" w:rsidRDefault="00AD66F3" w:rsidP="00AD66F3">
      <w:pPr>
        <w:pStyle w:val="NormalWeb"/>
        <w:spacing w:line="480" w:lineRule="auto"/>
        <w:rPr>
          <w:sz w:val="20"/>
          <w:szCs w:val="22"/>
        </w:rPr>
      </w:pPr>
      <w:r>
        <w:rPr>
          <w:sz w:val="20"/>
          <w:szCs w:val="22"/>
        </w:rPr>
        <w:lastRenderedPageBreak/>
        <w:t>T</w:t>
      </w:r>
      <w:r w:rsidRPr="00D61A75">
        <w:rPr>
          <w:sz w:val="20"/>
          <w:szCs w:val="22"/>
        </w:rPr>
        <w:t xml:space="preserve">otal SOC stocks were calculated by adding SOC stocks every 10 cm of </w:t>
      </w:r>
      <w:r>
        <w:rPr>
          <w:sz w:val="20"/>
          <w:szCs w:val="22"/>
        </w:rPr>
        <w:t>the</w:t>
      </w:r>
      <w:r w:rsidRPr="00D61A75">
        <w:rPr>
          <w:sz w:val="20"/>
          <w:szCs w:val="22"/>
        </w:rPr>
        <w:t xml:space="preserve"> soil profile from the surface down to the C horizon using the equation</w:t>
      </w:r>
      <w:r>
        <w:rPr>
          <w:sz w:val="20"/>
          <w:szCs w:val="22"/>
        </w:rPr>
        <w:t>:</w:t>
      </w:r>
    </w:p>
    <w:p w14:paraId="70F668EC" w14:textId="77777777" w:rsidR="00AD66F3" w:rsidRPr="00D61A75" w:rsidRDefault="00AD66F3" w:rsidP="00AD66F3">
      <w:pPr>
        <w:pStyle w:val="NormalWeb"/>
        <w:spacing w:line="480" w:lineRule="auto"/>
        <w:ind w:firstLine="195"/>
        <w:rPr>
          <w:sz w:val="20"/>
          <w:szCs w:val="22"/>
        </w:rPr>
      </w:pPr>
      <m:oMathPara>
        <m:oMath>
          <m:r>
            <w:rPr>
              <w:rFonts w:ascii="Cambria Math" w:hAnsi="Cambria Math"/>
              <w:sz w:val="22"/>
            </w:rPr>
            <m:t>SOC stock=</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i=k</m:t>
              </m:r>
            </m:sup>
            <m:e>
              <m:sSub>
                <m:sSubPr>
                  <m:ctrlPr>
                    <w:rPr>
                      <w:rFonts w:ascii="Cambria Math" w:hAnsi="Cambria Math"/>
                      <w:i/>
                      <w:sz w:val="22"/>
                    </w:rPr>
                  </m:ctrlPr>
                </m:sSubPr>
                <m:e>
                  <m:r>
                    <w:rPr>
                      <w:rFonts w:ascii="Cambria Math" w:hAnsi="Cambria Math"/>
                      <w:sz w:val="22"/>
                    </w:rPr>
                    <m:t>B</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e>
          </m:nary>
          <m:sSub>
            <m:sSubPr>
              <m:ctrlPr>
                <w:rPr>
                  <w:rFonts w:ascii="Cambria Math" w:hAnsi="Cambria Math"/>
                  <w:i/>
                  <w:sz w:val="22"/>
                </w:rPr>
              </m:ctrlPr>
            </m:sSubPr>
            <m:e>
              <m:r>
                <w:rPr>
                  <w:rFonts w:ascii="Cambria Math" w:hAnsi="Cambria Math"/>
                  <w:sz w:val="22"/>
                </w:rPr>
                <m:t>D</m:t>
              </m:r>
            </m:e>
            <m:sub>
              <m:r>
                <w:rPr>
                  <w:rFonts w:ascii="Cambria Math" w:hAnsi="Cambria Math"/>
                  <w:sz w:val="22"/>
                </w:rPr>
                <m:t>i</m:t>
              </m:r>
            </m:sub>
          </m:sSub>
        </m:oMath>
      </m:oMathPara>
    </w:p>
    <w:p w14:paraId="5A0A6563" w14:textId="321A4099" w:rsidR="00AD66F3" w:rsidRPr="00D61A75" w:rsidRDefault="00AD66F3" w:rsidP="00AD66F3">
      <w:pPr>
        <w:pStyle w:val="NormalWeb"/>
        <w:spacing w:line="480" w:lineRule="auto"/>
        <w:rPr>
          <w:sz w:val="20"/>
          <w:szCs w:val="22"/>
        </w:rPr>
      </w:pPr>
      <w:r w:rsidRPr="00D61A75">
        <w:rPr>
          <w:sz w:val="20"/>
          <w:szCs w:val="22"/>
        </w:rPr>
        <w:t xml:space="preserve">In </w:t>
      </w:r>
      <w:r w:rsidRPr="00C03984">
        <w:rPr>
          <w:sz w:val="20"/>
          <w:szCs w:val="22"/>
        </w:rPr>
        <w:t>which, B</w:t>
      </w:r>
      <w:r w:rsidRPr="00C03984">
        <w:rPr>
          <w:sz w:val="20"/>
          <w:szCs w:val="22"/>
          <w:vertAlign w:val="subscript"/>
        </w:rPr>
        <w:t>i</w:t>
      </w:r>
      <w:r w:rsidRPr="00C03984">
        <w:rPr>
          <w:sz w:val="20"/>
          <w:szCs w:val="22"/>
        </w:rPr>
        <w:t>= bulk density (g cm</w:t>
      </w:r>
      <w:r w:rsidRPr="00C03984">
        <w:rPr>
          <w:sz w:val="20"/>
          <w:szCs w:val="22"/>
          <w:vertAlign w:val="superscript"/>
        </w:rPr>
        <w:t>-3</w:t>
      </w:r>
      <w:r w:rsidRPr="00C03984">
        <w:rPr>
          <w:sz w:val="20"/>
          <w:szCs w:val="22"/>
        </w:rPr>
        <w:t xml:space="preserve">) of the layer </w:t>
      </w:r>
      <w:proofErr w:type="spellStart"/>
      <w:r w:rsidRPr="00C03984">
        <w:rPr>
          <w:sz w:val="20"/>
          <w:szCs w:val="22"/>
        </w:rPr>
        <w:t>i</w:t>
      </w:r>
      <w:proofErr w:type="spellEnd"/>
      <w:r w:rsidRPr="00C03984">
        <w:rPr>
          <w:sz w:val="20"/>
          <w:szCs w:val="22"/>
        </w:rPr>
        <w:t>, C</w:t>
      </w:r>
      <w:r w:rsidRPr="00C03984">
        <w:rPr>
          <w:sz w:val="20"/>
          <w:szCs w:val="22"/>
          <w:vertAlign w:val="subscript"/>
        </w:rPr>
        <w:t>i</w:t>
      </w:r>
      <w:r w:rsidRPr="00C03984">
        <w:rPr>
          <w:sz w:val="20"/>
          <w:szCs w:val="22"/>
        </w:rPr>
        <w:t xml:space="preserve">=C content (%) of the layer </w:t>
      </w:r>
      <w:proofErr w:type="spellStart"/>
      <w:r w:rsidRPr="00C03984">
        <w:rPr>
          <w:sz w:val="20"/>
          <w:szCs w:val="22"/>
        </w:rPr>
        <w:t>i</w:t>
      </w:r>
      <w:proofErr w:type="spellEnd"/>
      <w:r w:rsidRPr="00C03984">
        <w:rPr>
          <w:sz w:val="20"/>
          <w:szCs w:val="22"/>
        </w:rPr>
        <w:t>; D</w:t>
      </w:r>
      <w:r w:rsidRPr="00C03984">
        <w:rPr>
          <w:sz w:val="20"/>
          <w:szCs w:val="22"/>
          <w:vertAlign w:val="subscript"/>
        </w:rPr>
        <w:t>i</w:t>
      </w:r>
      <w:r w:rsidRPr="00C03984">
        <w:rPr>
          <w:sz w:val="20"/>
          <w:szCs w:val="22"/>
        </w:rPr>
        <w:t xml:space="preserve">= the thickness (cm) of layer </w:t>
      </w:r>
      <w:proofErr w:type="spellStart"/>
      <w:r w:rsidRPr="00C03984">
        <w:rPr>
          <w:sz w:val="20"/>
          <w:szCs w:val="22"/>
        </w:rPr>
        <w:t>i</w:t>
      </w:r>
      <w:proofErr w:type="spellEnd"/>
      <w:r w:rsidRPr="00C03984">
        <w:rPr>
          <w:sz w:val="20"/>
          <w:szCs w:val="22"/>
        </w:rPr>
        <w:t>. Total SOC stocks and bulk densities were not corrected for gravel contents and gravel was negligible in most of the soil profiles.</w:t>
      </w:r>
      <w:bookmarkStart w:id="2" w:name="_GoBack"/>
      <w:bookmarkEnd w:id="2"/>
    </w:p>
    <w:p w14:paraId="5BE06AEB" w14:textId="26C2EA68" w:rsidR="00AD66F3" w:rsidRPr="00D61A75" w:rsidRDefault="00AD66F3" w:rsidP="00AD66F3">
      <w:pPr>
        <w:spacing w:line="480" w:lineRule="auto"/>
        <w:rPr>
          <w:rFonts w:ascii="Times New Roman" w:hAnsi="Times New Roman"/>
          <w:i/>
          <w:sz w:val="20"/>
        </w:rPr>
      </w:pPr>
      <w:r>
        <w:rPr>
          <w:rFonts w:ascii="Times New Roman" w:hAnsi="Times New Roman"/>
          <w:i/>
          <w:sz w:val="20"/>
        </w:rPr>
        <w:t>3.</w:t>
      </w:r>
      <w:r w:rsidRPr="00D61A75">
        <w:rPr>
          <w:rFonts w:ascii="Times New Roman" w:hAnsi="Times New Roman"/>
          <w:i/>
          <w:sz w:val="20"/>
        </w:rPr>
        <w:t xml:space="preserve"> Statistics</w:t>
      </w:r>
    </w:p>
    <w:p w14:paraId="4B729F0C" w14:textId="257F3AB0" w:rsidR="00AD66F3" w:rsidRDefault="00AD66F3" w:rsidP="00AD66F3">
      <w:pPr>
        <w:spacing w:line="480" w:lineRule="auto"/>
        <w:rPr>
          <w:rFonts w:ascii="Times New Roman" w:hAnsi="Times New Roman"/>
          <w:sz w:val="20"/>
        </w:rPr>
      </w:pPr>
      <w:r w:rsidRPr="00D61A75">
        <w:rPr>
          <w:rFonts w:ascii="Times New Roman" w:hAnsi="Times New Roman"/>
          <w:color w:val="000000" w:themeColor="text1"/>
          <w:sz w:val="20"/>
        </w:rPr>
        <w:t xml:space="preserve">Linear models were used </w:t>
      </w:r>
      <w:r w:rsidRPr="00C03984">
        <w:rPr>
          <w:rFonts w:ascii="Times New Roman" w:hAnsi="Times New Roman"/>
          <w:sz w:val="20"/>
        </w:rPr>
        <w:t xml:space="preserve">to test the effect of the </w:t>
      </w:r>
      <w:r>
        <w:rPr>
          <w:rFonts w:ascii="Times New Roman" w:hAnsi="Times New Roman"/>
          <w:sz w:val="20"/>
        </w:rPr>
        <w:t>soil formation and environmental (</w:t>
      </w:r>
      <w:r w:rsidRPr="00C03984">
        <w:rPr>
          <w:rFonts w:ascii="Times New Roman" w:hAnsi="Times New Roman"/>
          <w:sz w:val="20"/>
        </w:rPr>
        <w:t>SFE</w:t>
      </w:r>
      <w:r>
        <w:rPr>
          <w:rFonts w:ascii="Times New Roman" w:hAnsi="Times New Roman"/>
          <w:sz w:val="20"/>
        </w:rPr>
        <w:t>)</w:t>
      </w:r>
      <w:r w:rsidRPr="00C03984">
        <w:rPr>
          <w:rFonts w:ascii="Times New Roman" w:hAnsi="Times New Roman"/>
          <w:sz w:val="20"/>
        </w:rPr>
        <w:t xml:space="preserve"> factors (lithology, land use, grazing intensity, slope position, altitude and slope angle) on total SOC stocks and SOC stocks of the upper 10cm. We consider the soil properties (soil depth, moisture and pH) as potential conditional variables, because they may be important predictors for SOC stocks, although the SFE factors rather than soil properties are the focus of our study. The conditional variables were selected from soil properties, based on the criteria that the variables should be significantly related to SOC stocks and also be independent of the SFE factors. The criterion of independence aimed to avoid difficulties in interpretation that are introduced by interactions between the conditional variables and the SFE factors. The linear models were applied to identify the conditional variables (soil properties) that are linearly related to the SOC stocks and independent from the SFE factors. When the conditional variables were selected, we applied the linear models with all conditional variables and only one additional SFE factor to predict SOC stocks. These models are aimed at investigating the effects of individual SFE factors and to make comparisons with the linear models without conditional variables</w:t>
      </w:r>
      <w:r>
        <w:rPr>
          <w:rFonts w:ascii="Times New Roman" w:hAnsi="Times New Roman"/>
          <w:sz w:val="20"/>
        </w:rPr>
        <w:t>.</w:t>
      </w:r>
      <w:r w:rsidRPr="00D61A75">
        <w:rPr>
          <w:rFonts w:ascii="Times New Roman" w:hAnsi="Times New Roman"/>
          <w:sz w:val="20"/>
        </w:rPr>
        <w:t xml:space="preserve"> </w:t>
      </w:r>
    </w:p>
    <w:p w14:paraId="074C7BDC" w14:textId="42669810" w:rsidR="00AD66F3" w:rsidRPr="00D61A75" w:rsidRDefault="00AD66F3" w:rsidP="00AD66F3">
      <w:pPr>
        <w:spacing w:line="480" w:lineRule="auto"/>
        <w:rPr>
          <w:rFonts w:ascii="Times New Roman" w:hAnsi="Times New Roman"/>
          <w:sz w:val="20"/>
        </w:rPr>
      </w:pPr>
      <w:r w:rsidRPr="00C03984">
        <w:rPr>
          <w:rFonts w:ascii="Times New Roman" w:hAnsi="Times New Roman"/>
          <w:sz w:val="20"/>
        </w:rPr>
        <w:t>For each of the models that appeared as a suitable model (Based on AIC and significance of coefficients), a thorough visual check of the assumptions underlying the linear model was conducted (normality, homoscedasticity, independence of errors and absence of structural deviations from each of predictors and the response variable) and any apparent violations were reported with the other model results.</w:t>
      </w:r>
      <w:r>
        <w:rPr>
          <w:rFonts w:ascii="Times New Roman" w:hAnsi="Times New Roman"/>
          <w:sz w:val="20"/>
        </w:rPr>
        <w:t xml:space="preserve"> A</w:t>
      </w:r>
      <w:r w:rsidRPr="00D61A75">
        <w:rPr>
          <w:rFonts w:ascii="Times New Roman" w:hAnsi="Times New Roman"/>
          <w:sz w:val="20"/>
        </w:rPr>
        <w:t>nalyses were performed with SPSS 22.0 (SPSS Inc., USA).</w:t>
      </w:r>
    </w:p>
    <w:p w14:paraId="76C543AA" w14:textId="77777777" w:rsidR="00C54C5B" w:rsidRDefault="00C54C5B"/>
    <w:sectPr w:rsidR="00C54C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B9D"/>
    <w:rsid w:val="000027EE"/>
    <w:rsid w:val="00004689"/>
    <w:rsid w:val="00004E49"/>
    <w:rsid w:val="000059CB"/>
    <w:rsid w:val="000071E1"/>
    <w:rsid w:val="00007915"/>
    <w:rsid w:val="0001012D"/>
    <w:rsid w:val="00017388"/>
    <w:rsid w:val="00024EC0"/>
    <w:rsid w:val="00025D8E"/>
    <w:rsid w:val="0003054E"/>
    <w:rsid w:val="0003069F"/>
    <w:rsid w:val="00032B0E"/>
    <w:rsid w:val="00032DD6"/>
    <w:rsid w:val="00033391"/>
    <w:rsid w:val="00034E31"/>
    <w:rsid w:val="00037BBE"/>
    <w:rsid w:val="00037F85"/>
    <w:rsid w:val="00042E2B"/>
    <w:rsid w:val="000543AE"/>
    <w:rsid w:val="000543E5"/>
    <w:rsid w:val="00060F91"/>
    <w:rsid w:val="000677A1"/>
    <w:rsid w:val="00070072"/>
    <w:rsid w:val="00071022"/>
    <w:rsid w:val="000726B6"/>
    <w:rsid w:val="000735CC"/>
    <w:rsid w:val="000746CD"/>
    <w:rsid w:val="00074EBB"/>
    <w:rsid w:val="00075C7D"/>
    <w:rsid w:val="00077167"/>
    <w:rsid w:val="00084B88"/>
    <w:rsid w:val="000861A4"/>
    <w:rsid w:val="00087B7F"/>
    <w:rsid w:val="00090B09"/>
    <w:rsid w:val="00091311"/>
    <w:rsid w:val="00092C9A"/>
    <w:rsid w:val="00092C9C"/>
    <w:rsid w:val="00093965"/>
    <w:rsid w:val="000956CA"/>
    <w:rsid w:val="00095937"/>
    <w:rsid w:val="000A0B0B"/>
    <w:rsid w:val="000A2ED7"/>
    <w:rsid w:val="000A3554"/>
    <w:rsid w:val="000A525F"/>
    <w:rsid w:val="000A617E"/>
    <w:rsid w:val="000A678B"/>
    <w:rsid w:val="000B0ABF"/>
    <w:rsid w:val="000B4DFF"/>
    <w:rsid w:val="000B5AF3"/>
    <w:rsid w:val="000B5BCE"/>
    <w:rsid w:val="000B6FAB"/>
    <w:rsid w:val="000C39D8"/>
    <w:rsid w:val="000C412D"/>
    <w:rsid w:val="000C49FD"/>
    <w:rsid w:val="000C5105"/>
    <w:rsid w:val="000C740F"/>
    <w:rsid w:val="000C7B7D"/>
    <w:rsid w:val="000D1A91"/>
    <w:rsid w:val="000D2497"/>
    <w:rsid w:val="000D5577"/>
    <w:rsid w:val="000D627A"/>
    <w:rsid w:val="000D6EB9"/>
    <w:rsid w:val="000E0272"/>
    <w:rsid w:val="000E03B6"/>
    <w:rsid w:val="000E04BE"/>
    <w:rsid w:val="000E132F"/>
    <w:rsid w:val="000E1E25"/>
    <w:rsid w:val="000E2882"/>
    <w:rsid w:val="000E5301"/>
    <w:rsid w:val="000E6EF6"/>
    <w:rsid w:val="000E799D"/>
    <w:rsid w:val="000F36AF"/>
    <w:rsid w:val="000F45CC"/>
    <w:rsid w:val="000F56FB"/>
    <w:rsid w:val="00101030"/>
    <w:rsid w:val="0010156B"/>
    <w:rsid w:val="001057BB"/>
    <w:rsid w:val="00106A9F"/>
    <w:rsid w:val="001101BD"/>
    <w:rsid w:val="00110374"/>
    <w:rsid w:val="00110975"/>
    <w:rsid w:val="0011242E"/>
    <w:rsid w:val="00114E30"/>
    <w:rsid w:val="00115606"/>
    <w:rsid w:val="0012425E"/>
    <w:rsid w:val="001248C5"/>
    <w:rsid w:val="00124B30"/>
    <w:rsid w:val="00127BAB"/>
    <w:rsid w:val="00135FDC"/>
    <w:rsid w:val="001457F2"/>
    <w:rsid w:val="001525B9"/>
    <w:rsid w:val="001556BC"/>
    <w:rsid w:val="001557E6"/>
    <w:rsid w:val="00155C18"/>
    <w:rsid w:val="00157BC2"/>
    <w:rsid w:val="001609A5"/>
    <w:rsid w:val="00162335"/>
    <w:rsid w:val="00163691"/>
    <w:rsid w:val="00163774"/>
    <w:rsid w:val="00163EB7"/>
    <w:rsid w:val="00164394"/>
    <w:rsid w:val="0016523F"/>
    <w:rsid w:val="00172286"/>
    <w:rsid w:val="00173419"/>
    <w:rsid w:val="00174E18"/>
    <w:rsid w:val="0018252A"/>
    <w:rsid w:val="001858A2"/>
    <w:rsid w:val="0019312E"/>
    <w:rsid w:val="00194969"/>
    <w:rsid w:val="00194DA5"/>
    <w:rsid w:val="00196B52"/>
    <w:rsid w:val="001B113F"/>
    <w:rsid w:val="001B1602"/>
    <w:rsid w:val="001B374A"/>
    <w:rsid w:val="001C6386"/>
    <w:rsid w:val="001D0715"/>
    <w:rsid w:val="001D0E0B"/>
    <w:rsid w:val="001D0EBF"/>
    <w:rsid w:val="001D101F"/>
    <w:rsid w:val="001D1098"/>
    <w:rsid w:val="001D128E"/>
    <w:rsid w:val="001D19DE"/>
    <w:rsid w:val="001D1FF2"/>
    <w:rsid w:val="001D2244"/>
    <w:rsid w:val="001D6848"/>
    <w:rsid w:val="001E0F28"/>
    <w:rsid w:val="001E148A"/>
    <w:rsid w:val="001E4097"/>
    <w:rsid w:val="001E4737"/>
    <w:rsid w:val="001E5E2A"/>
    <w:rsid w:val="001E7A24"/>
    <w:rsid w:val="001F4C57"/>
    <w:rsid w:val="001F6681"/>
    <w:rsid w:val="001F76A2"/>
    <w:rsid w:val="00200276"/>
    <w:rsid w:val="0020739E"/>
    <w:rsid w:val="00207914"/>
    <w:rsid w:val="00210083"/>
    <w:rsid w:val="002110D0"/>
    <w:rsid w:val="0022021F"/>
    <w:rsid w:val="002217A8"/>
    <w:rsid w:val="00221C5A"/>
    <w:rsid w:val="00230370"/>
    <w:rsid w:val="00230A9C"/>
    <w:rsid w:val="002320CB"/>
    <w:rsid w:val="002339A4"/>
    <w:rsid w:val="002343A8"/>
    <w:rsid w:val="00235819"/>
    <w:rsid w:val="00236577"/>
    <w:rsid w:val="002370F1"/>
    <w:rsid w:val="00237AA6"/>
    <w:rsid w:val="00242EC0"/>
    <w:rsid w:val="00246DAF"/>
    <w:rsid w:val="00251413"/>
    <w:rsid w:val="002519A2"/>
    <w:rsid w:val="002529E6"/>
    <w:rsid w:val="002537C0"/>
    <w:rsid w:val="002541EC"/>
    <w:rsid w:val="002546B1"/>
    <w:rsid w:val="00260977"/>
    <w:rsid w:val="002612BE"/>
    <w:rsid w:val="00262F8E"/>
    <w:rsid w:val="002667B8"/>
    <w:rsid w:val="0027176D"/>
    <w:rsid w:val="002740C1"/>
    <w:rsid w:val="002749DC"/>
    <w:rsid w:val="00275B92"/>
    <w:rsid w:val="00277FE2"/>
    <w:rsid w:val="00281135"/>
    <w:rsid w:val="002834F3"/>
    <w:rsid w:val="00283B77"/>
    <w:rsid w:val="00290D5C"/>
    <w:rsid w:val="002910C7"/>
    <w:rsid w:val="00291DAD"/>
    <w:rsid w:val="00294104"/>
    <w:rsid w:val="002953EE"/>
    <w:rsid w:val="002A10CB"/>
    <w:rsid w:val="002A2AA5"/>
    <w:rsid w:val="002B2A81"/>
    <w:rsid w:val="002B7E1B"/>
    <w:rsid w:val="002C2B6F"/>
    <w:rsid w:val="002C6E83"/>
    <w:rsid w:val="002D1EAB"/>
    <w:rsid w:val="002D4F6C"/>
    <w:rsid w:val="002D56E7"/>
    <w:rsid w:val="002D60A8"/>
    <w:rsid w:val="002D624E"/>
    <w:rsid w:val="002D7443"/>
    <w:rsid w:val="002E03EF"/>
    <w:rsid w:val="002E077C"/>
    <w:rsid w:val="002E6252"/>
    <w:rsid w:val="002F0958"/>
    <w:rsid w:val="002F2E24"/>
    <w:rsid w:val="002F66A3"/>
    <w:rsid w:val="0030450D"/>
    <w:rsid w:val="0030532C"/>
    <w:rsid w:val="00305809"/>
    <w:rsid w:val="00312EC7"/>
    <w:rsid w:val="003164C9"/>
    <w:rsid w:val="00316B29"/>
    <w:rsid w:val="00320237"/>
    <w:rsid w:val="003211EB"/>
    <w:rsid w:val="0032209F"/>
    <w:rsid w:val="00322483"/>
    <w:rsid w:val="00324D38"/>
    <w:rsid w:val="003252E2"/>
    <w:rsid w:val="00331B34"/>
    <w:rsid w:val="00333A53"/>
    <w:rsid w:val="0033795D"/>
    <w:rsid w:val="00341413"/>
    <w:rsid w:val="00343BCD"/>
    <w:rsid w:val="00347228"/>
    <w:rsid w:val="00353D8C"/>
    <w:rsid w:val="0035566F"/>
    <w:rsid w:val="00356710"/>
    <w:rsid w:val="003617E8"/>
    <w:rsid w:val="0036313E"/>
    <w:rsid w:val="003647C0"/>
    <w:rsid w:val="00364B47"/>
    <w:rsid w:val="0036622D"/>
    <w:rsid w:val="00370E20"/>
    <w:rsid w:val="00372786"/>
    <w:rsid w:val="0037434C"/>
    <w:rsid w:val="003774D7"/>
    <w:rsid w:val="00380271"/>
    <w:rsid w:val="003809BF"/>
    <w:rsid w:val="00380D49"/>
    <w:rsid w:val="0038174D"/>
    <w:rsid w:val="00382EB2"/>
    <w:rsid w:val="00382FA9"/>
    <w:rsid w:val="0038519B"/>
    <w:rsid w:val="00386D4E"/>
    <w:rsid w:val="00387274"/>
    <w:rsid w:val="00390714"/>
    <w:rsid w:val="00391711"/>
    <w:rsid w:val="00392337"/>
    <w:rsid w:val="00392802"/>
    <w:rsid w:val="00395C95"/>
    <w:rsid w:val="00397DDB"/>
    <w:rsid w:val="003A08CE"/>
    <w:rsid w:val="003A24C2"/>
    <w:rsid w:val="003A3B01"/>
    <w:rsid w:val="003A4B37"/>
    <w:rsid w:val="003A7EDB"/>
    <w:rsid w:val="003B2609"/>
    <w:rsid w:val="003B2F8C"/>
    <w:rsid w:val="003B7B5A"/>
    <w:rsid w:val="003B7FF7"/>
    <w:rsid w:val="003C0967"/>
    <w:rsid w:val="003C28EE"/>
    <w:rsid w:val="003C4222"/>
    <w:rsid w:val="003C5EFE"/>
    <w:rsid w:val="003C64C6"/>
    <w:rsid w:val="003D0DEF"/>
    <w:rsid w:val="003D38FF"/>
    <w:rsid w:val="003D4DF8"/>
    <w:rsid w:val="003D5265"/>
    <w:rsid w:val="003D664E"/>
    <w:rsid w:val="003D7564"/>
    <w:rsid w:val="003E29E4"/>
    <w:rsid w:val="003E6119"/>
    <w:rsid w:val="003E6B6B"/>
    <w:rsid w:val="003E6D07"/>
    <w:rsid w:val="003F05D5"/>
    <w:rsid w:val="003F50A8"/>
    <w:rsid w:val="003F6F87"/>
    <w:rsid w:val="003F76B4"/>
    <w:rsid w:val="00401FFD"/>
    <w:rsid w:val="00403491"/>
    <w:rsid w:val="004048AC"/>
    <w:rsid w:val="00404ADC"/>
    <w:rsid w:val="00407E14"/>
    <w:rsid w:val="004150B4"/>
    <w:rsid w:val="00416224"/>
    <w:rsid w:val="0042657D"/>
    <w:rsid w:val="004309A1"/>
    <w:rsid w:val="00443ADA"/>
    <w:rsid w:val="00445F49"/>
    <w:rsid w:val="004473B9"/>
    <w:rsid w:val="0045404E"/>
    <w:rsid w:val="0046384C"/>
    <w:rsid w:val="004653A2"/>
    <w:rsid w:val="0047191A"/>
    <w:rsid w:val="00471DF5"/>
    <w:rsid w:val="00475207"/>
    <w:rsid w:val="00483851"/>
    <w:rsid w:val="004842EC"/>
    <w:rsid w:val="004848C9"/>
    <w:rsid w:val="00485CD6"/>
    <w:rsid w:val="00492EE0"/>
    <w:rsid w:val="00493925"/>
    <w:rsid w:val="00494447"/>
    <w:rsid w:val="00495363"/>
    <w:rsid w:val="00495365"/>
    <w:rsid w:val="004A0707"/>
    <w:rsid w:val="004A0808"/>
    <w:rsid w:val="004A116A"/>
    <w:rsid w:val="004A2253"/>
    <w:rsid w:val="004A44D6"/>
    <w:rsid w:val="004A5A0F"/>
    <w:rsid w:val="004B2213"/>
    <w:rsid w:val="004B47A3"/>
    <w:rsid w:val="004D0FDF"/>
    <w:rsid w:val="004D333B"/>
    <w:rsid w:val="004E2124"/>
    <w:rsid w:val="004E372D"/>
    <w:rsid w:val="004E3BF3"/>
    <w:rsid w:val="004E741C"/>
    <w:rsid w:val="004F290B"/>
    <w:rsid w:val="004F326E"/>
    <w:rsid w:val="004F6BB1"/>
    <w:rsid w:val="004F73F9"/>
    <w:rsid w:val="00503C9D"/>
    <w:rsid w:val="00503FDD"/>
    <w:rsid w:val="005064FD"/>
    <w:rsid w:val="005150ED"/>
    <w:rsid w:val="00516FEE"/>
    <w:rsid w:val="0051775B"/>
    <w:rsid w:val="005221A2"/>
    <w:rsid w:val="00522576"/>
    <w:rsid w:val="005238E4"/>
    <w:rsid w:val="00524539"/>
    <w:rsid w:val="0052611E"/>
    <w:rsid w:val="005267E3"/>
    <w:rsid w:val="005272F6"/>
    <w:rsid w:val="005274B8"/>
    <w:rsid w:val="00527874"/>
    <w:rsid w:val="005278CE"/>
    <w:rsid w:val="00530D6A"/>
    <w:rsid w:val="00531E42"/>
    <w:rsid w:val="00537344"/>
    <w:rsid w:val="00541646"/>
    <w:rsid w:val="00541DD2"/>
    <w:rsid w:val="00543450"/>
    <w:rsid w:val="005454A7"/>
    <w:rsid w:val="005464E0"/>
    <w:rsid w:val="005510C6"/>
    <w:rsid w:val="00554181"/>
    <w:rsid w:val="0055456A"/>
    <w:rsid w:val="005604D8"/>
    <w:rsid w:val="0056170C"/>
    <w:rsid w:val="00561EB3"/>
    <w:rsid w:val="00567ED7"/>
    <w:rsid w:val="00567F0B"/>
    <w:rsid w:val="00572565"/>
    <w:rsid w:val="00575775"/>
    <w:rsid w:val="00580F88"/>
    <w:rsid w:val="00584D2D"/>
    <w:rsid w:val="00585371"/>
    <w:rsid w:val="00591740"/>
    <w:rsid w:val="00591CBE"/>
    <w:rsid w:val="0059554D"/>
    <w:rsid w:val="0059558B"/>
    <w:rsid w:val="00595EF5"/>
    <w:rsid w:val="005A1958"/>
    <w:rsid w:val="005A4830"/>
    <w:rsid w:val="005A55D4"/>
    <w:rsid w:val="005B140B"/>
    <w:rsid w:val="005B6193"/>
    <w:rsid w:val="005B62E4"/>
    <w:rsid w:val="005C0DBE"/>
    <w:rsid w:val="005C1A1B"/>
    <w:rsid w:val="005C3446"/>
    <w:rsid w:val="005C389A"/>
    <w:rsid w:val="005C472F"/>
    <w:rsid w:val="005C6DB4"/>
    <w:rsid w:val="005C7523"/>
    <w:rsid w:val="005D08B3"/>
    <w:rsid w:val="005D5F7B"/>
    <w:rsid w:val="005D6B63"/>
    <w:rsid w:val="005D77D3"/>
    <w:rsid w:val="005E1068"/>
    <w:rsid w:val="005E3382"/>
    <w:rsid w:val="005E3770"/>
    <w:rsid w:val="005E58CD"/>
    <w:rsid w:val="005E78DA"/>
    <w:rsid w:val="005E7DA5"/>
    <w:rsid w:val="005F3EA0"/>
    <w:rsid w:val="005F4BDC"/>
    <w:rsid w:val="005F5A14"/>
    <w:rsid w:val="005F77B8"/>
    <w:rsid w:val="006042DA"/>
    <w:rsid w:val="006050B2"/>
    <w:rsid w:val="0060646D"/>
    <w:rsid w:val="00610D1B"/>
    <w:rsid w:val="00610D8E"/>
    <w:rsid w:val="00612B48"/>
    <w:rsid w:val="0061489B"/>
    <w:rsid w:val="00620836"/>
    <w:rsid w:val="006223EC"/>
    <w:rsid w:val="00624692"/>
    <w:rsid w:val="006312C5"/>
    <w:rsid w:val="0063224B"/>
    <w:rsid w:val="00632507"/>
    <w:rsid w:val="00637EA5"/>
    <w:rsid w:val="006458B2"/>
    <w:rsid w:val="006471F4"/>
    <w:rsid w:val="00651CDD"/>
    <w:rsid w:val="0065302F"/>
    <w:rsid w:val="00654239"/>
    <w:rsid w:val="0065667B"/>
    <w:rsid w:val="006665B4"/>
    <w:rsid w:val="006713FB"/>
    <w:rsid w:val="00671FC3"/>
    <w:rsid w:val="00672323"/>
    <w:rsid w:val="00673CB3"/>
    <w:rsid w:val="006766C3"/>
    <w:rsid w:val="00676DE6"/>
    <w:rsid w:val="00676E41"/>
    <w:rsid w:val="00677711"/>
    <w:rsid w:val="00684202"/>
    <w:rsid w:val="006856A4"/>
    <w:rsid w:val="00685A23"/>
    <w:rsid w:val="006947A6"/>
    <w:rsid w:val="0069637D"/>
    <w:rsid w:val="006A1DAA"/>
    <w:rsid w:val="006A2F9E"/>
    <w:rsid w:val="006A3B7B"/>
    <w:rsid w:val="006A40D0"/>
    <w:rsid w:val="006A58CC"/>
    <w:rsid w:val="006A6075"/>
    <w:rsid w:val="006A60BF"/>
    <w:rsid w:val="006A7E06"/>
    <w:rsid w:val="006B5001"/>
    <w:rsid w:val="006C2C8E"/>
    <w:rsid w:val="006D3477"/>
    <w:rsid w:val="006D4F7B"/>
    <w:rsid w:val="006D5827"/>
    <w:rsid w:val="006D7CBB"/>
    <w:rsid w:val="006F134B"/>
    <w:rsid w:val="006F2BBA"/>
    <w:rsid w:val="006F5752"/>
    <w:rsid w:val="0070038D"/>
    <w:rsid w:val="00704974"/>
    <w:rsid w:val="00704B49"/>
    <w:rsid w:val="00712356"/>
    <w:rsid w:val="00714500"/>
    <w:rsid w:val="007150D4"/>
    <w:rsid w:val="00715FF2"/>
    <w:rsid w:val="00716629"/>
    <w:rsid w:val="0072025F"/>
    <w:rsid w:val="00723513"/>
    <w:rsid w:val="0072394D"/>
    <w:rsid w:val="00726C8F"/>
    <w:rsid w:val="007315EA"/>
    <w:rsid w:val="007319C1"/>
    <w:rsid w:val="00733F93"/>
    <w:rsid w:val="0073409B"/>
    <w:rsid w:val="00734376"/>
    <w:rsid w:val="00735404"/>
    <w:rsid w:val="007360C0"/>
    <w:rsid w:val="007368E7"/>
    <w:rsid w:val="0074050B"/>
    <w:rsid w:val="00740FDD"/>
    <w:rsid w:val="00744956"/>
    <w:rsid w:val="0074561D"/>
    <w:rsid w:val="007456D5"/>
    <w:rsid w:val="007456FB"/>
    <w:rsid w:val="0074597A"/>
    <w:rsid w:val="00750580"/>
    <w:rsid w:val="007509CC"/>
    <w:rsid w:val="00751046"/>
    <w:rsid w:val="007516D6"/>
    <w:rsid w:val="0075329C"/>
    <w:rsid w:val="007555E7"/>
    <w:rsid w:val="007605FC"/>
    <w:rsid w:val="00763C10"/>
    <w:rsid w:val="007673DD"/>
    <w:rsid w:val="00767CFE"/>
    <w:rsid w:val="007703DA"/>
    <w:rsid w:val="00773752"/>
    <w:rsid w:val="00777251"/>
    <w:rsid w:val="0078112E"/>
    <w:rsid w:val="00782772"/>
    <w:rsid w:val="00782E2C"/>
    <w:rsid w:val="007841C4"/>
    <w:rsid w:val="00785635"/>
    <w:rsid w:val="007859C2"/>
    <w:rsid w:val="0079450E"/>
    <w:rsid w:val="00797408"/>
    <w:rsid w:val="007974F6"/>
    <w:rsid w:val="00797E86"/>
    <w:rsid w:val="007A1CC5"/>
    <w:rsid w:val="007A1F04"/>
    <w:rsid w:val="007A2916"/>
    <w:rsid w:val="007A43F1"/>
    <w:rsid w:val="007A4797"/>
    <w:rsid w:val="007A7551"/>
    <w:rsid w:val="007B037D"/>
    <w:rsid w:val="007B28E2"/>
    <w:rsid w:val="007B585A"/>
    <w:rsid w:val="007B726F"/>
    <w:rsid w:val="007B79FA"/>
    <w:rsid w:val="007C2846"/>
    <w:rsid w:val="007C2BCB"/>
    <w:rsid w:val="007C2CF2"/>
    <w:rsid w:val="007C3B54"/>
    <w:rsid w:val="007C5178"/>
    <w:rsid w:val="007C52FC"/>
    <w:rsid w:val="007C7352"/>
    <w:rsid w:val="007D13A8"/>
    <w:rsid w:val="007D5398"/>
    <w:rsid w:val="007D62FC"/>
    <w:rsid w:val="007E2A80"/>
    <w:rsid w:val="007E3321"/>
    <w:rsid w:val="007E3397"/>
    <w:rsid w:val="007E5746"/>
    <w:rsid w:val="007E747F"/>
    <w:rsid w:val="007F00C1"/>
    <w:rsid w:val="007F07B6"/>
    <w:rsid w:val="007F13F4"/>
    <w:rsid w:val="007F5AD5"/>
    <w:rsid w:val="007F6DFE"/>
    <w:rsid w:val="007F7BA8"/>
    <w:rsid w:val="007F7DF5"/>
    <w:rsid w:val="007F7FC7"/>
    <w:rsid w:val="00801461"/>
    <w:rsid w:val="00801C1D"/>
    <w:rsid w:val="00802714"/>
    <w:rsid w:val="00803D7C"/>
    <w:rsid w:val="00815827"/>
    <w:rsid w:val="00817624"/>
    <w:rsid w:val="00817D65"/>
    <w:rsid w:val="008225A7"/>
    <w:rsid w:val="00822E06"/>
    <w:rsid w:val="00823976"/>
    <w:rsid w:val="00826CA6"/>
    <w:rsid w:val="0083077E"/>
    <w:rsid w:val="0083239C"/>
    <w:rsid w:val="008350A9"/>
    <w:rsid w:val="00835D8C"/>
    <w:rsid w:val="0083764C"/>
    <w:rsid w:val="0084082E"/>
    <w:rsid w:val="00843AE2"/>
    <w:rsid w:val="00844215"/>
    <w:rsid w:val="008442CA"/>
    <w:rsid w:val="0085167B"/>
    <w:rsid w:val="00852A37"/>
    <w:rsid w:val="00852EC1"/>
    <w:rsid w:val="00853026"/>
    <w:rsid w:val="00856B21"/>
    <w:rsid w:val="00857900"/>
    <w:rsid w:val="008609D3"/>
    <w:rsid w:val="008617E9"/>
    <w:rsid w:val="00861DE7"/>
    <w:rsid w:val="00861FA2"/>
    <w:rsid w:val="0086389C"/>
    <w:rsid w:val="00872497"/>
    <w:rsid w:val="00873792"/>
    <w:rsid w:val="00877F0C"/>
    <w:rsid w:val="00882C14"/>
    <w:rsid w:val="00883AFB"/>
    <w:rsid w:val="00886C97"/>
    <w:rsid w:val="00886EB8"/>
    <w:rsid w:val="00893CCB"/>
    <w:rsid w:val="008943DA"/>
    <w:rsid w:val="008950FD"/>
    <w:rsid w:val="008963AB"/>
    <w:rsid w:val="00896B08"/>
    <w:rsid w:val="008A0352"/>
    <w:rsid w:val="008A0C0B"/>
    <w:rsid w:val="008A17E4"/>
    <w:rsid w:val="008A1CF9"/>
    <w:rsid w:val="008A36E1"/>
    <w:rsid w:val="008A5B2C"/>
    <w:rsid w:val="008A6912"/>
    <w:rsid w:val="008A6F66"/>
    <w:rsid w:val="008A733C"/>
    <w:rsid w:val="008B3C3F"/>
    <w:rsid w:val="008B62E6"/>
    <w:rsid w:val="008B73BB"/>
    <w:rsid w:val="008B7DB1"/>
    <w:rsid w:val="008C1010"/>
    <w:rsid w:val="008C6544"/>
    <w:rsid w:val="008D2E83"/>
    <w:rsid w:val="008D420E"/>
    <w:rsid w:val="008E2A47"/>
    <w:rsid w:val="008E38A8"/>
    <w:rsid w:val="008E6194"/>
    <w:rsid w:val="008E7F96"/>
    <w:rsid w:val="008F086C"/>
    <w:rsid w:val="008F5450"/>
    <w:rsid w:val="008F5589"/>
    <w:rsid w:val="008F7DC7"/>
    <w:rsid w:val="008F7E65"/>
    <w:rsid w:val="0090085D"/>
    <w:rsid w:val="00903319"/>
    <w:rsid w:val="0090372A"/>
    <w:rsid w:val="00903EA9"/>
    <w:rsid w:val="00904DA3"/>
    <w:rsid w:val="009058DC"/>
    <w:rsid w:val="0090675F"/>
    <w:rsid w:val="00907F25"/>
    <w:rsid w:val="00913CB7"/>
    <w:rsid w:val="009153D4"/>
    <w:rsid w:val="009155CA"/>
    <w:rsid w:val="00922283"/>
    <w:rsid w:val="00925AD4"/>
    <w:rsid w:val="0093037F"/>
    <w:rsid w:val="0093324B"/>
    <w:rsid w:val="00940594"/>
    <w:rsid w:val="0094163E"/>
    <w:rsid w:val="009433AB"/>
    <w:rsid w:val="00945AB1"/>
    <w:rsid w:val="009510A2"/>
    <w:rsid w:val="009516C4"/>
    <w:rsid w:val="00952D72"/>
    <w:rsid w:val="00955337"/>
    <w:rsid w:val="00957351"/>
    <w:rsid w:val="0096040D"/>
    <w:rsid w:val="00960850"/>
    <w:rsid w:val="00963FA7"/>
    <w:rsid w:val="00965162"/>
    <w:rsid w:val="00965C39"/>
    <w:rsid w:val="00970394"/>
    <w:rsid w:val="00972BE6"/>
    <w:rsid w:val="009741B3"/>
    <w:rsid w:val="00976DF5"/>
    <w:rsid w:val="00980F65"/>
    <w:rsid w:val="00981505"/>
    <w:rsid w:val="0098244E"/>
    <w:rsid w:val="00982BC7"/>
    <w:rsid w:val="00983996"/>
    <w:rsid w:val="0098454E"/>
    <w:rsid w:val="00987FCB"/>
    <w:rsid w:val="00991174"/>
    <w:rsid w:val="00992172"/>
    <w:rsid w:val="00994F35"/>
    <w:rsid w:val="00996C4C"/>
    <w:rsid w:val="009A11E2"/>
    <w:rsid w:val="009A58E0"/>
    <w:rsid w:val="009A6103"/>
    <w:rsid w:val="009A6B7C"/>
    <w:rsid w:val="009A6C56"/>
    <w:rsid w:val="009B4976"/>
    <w:rsid w:val="009B62C7"/>
    <w:rsid w:val="009B7447"/>
    <w:rsid w:val="009C0B17"/>
    <w:rsid w:val="009C2F02"/>
    <w:rsid w:val="009C5040"/>
    <w:rsid w:val="009D393B"/>
    <w:rsid w:val="009D40AD"/>
    <w:rsid w:val="009D79EA"/>
    <w:rsid w:val="009E26B5"/>
    <w:rsid w:val="009E2B4D"/>
    <w:rsid w:val="009E45CC"/>
    <w:rsid w:val="009E483D"/>
    <w:rsid w:val="009F09F4"/>
    <w:rsid w:val="009F2E45"/>
    <w:rsid w:val="009F6EDC"/>
    <w:rsid w:val="00A0195E"/>
    <w:rsid w:val="00A02150"/>
    <w:rsid w:val="00A068A2"/>
    <w:rsid w:val="00A06F1D"/>
    <w:rsid w:val="00A10545"/>
    <w:rsid w:val="00A2055B"/>
    <w:rsid w:val="00A2232D"/>
    <w:rsid w:val="00A22C2D"/>
    <w:rsid w:val="00A22ED1"/>
    <w:rsid w:val="00A31156"/>
    <w:rsid w:val="00A31323"/>
    <w:rsid w:val="00A33A20"/>
    <w:rsid w:val="00A33B8E"/>
    <w:rsid w:val="00A34882"/>
    <w:rsid w:val="00A352B2"/>
    <w:rsid w:val="00A3615A"/>
    <w:rsid w:val="00A3752A"/>
    <w:rsid w:val="00A412E7"/>
    <w:rsid w:val="00A42D7C"/>
    <w:rsid w:val="00A464EF"/>
    <w:rsid w:val="00A559C4"/>
    <w:rsid w:val="00A561A9"/>
    <w:rsid w:val="00A61DA5"/>
    <w:rsid w:val="00A62F02"/>
    <w:rsid w:val="00A639DE"/>
    <w:rsid w:val="00A66EEA"/>
    <w:rsid w:val="00A67C9B"/>
    <w:rsid w:val="00A729C7"/>
    <w:rsid w:val="00A81603"/>
    <w:rsid w:val="00A8170C"/>
    <w:rsid w:val="00A83A2C"/>
    <w:rsid w:val="00A87E02"/>
    <w:rsid w:val="00A913B3"/>
    <w:rsid w:val="00A9292D"/>
    <w:rsid w:val="00A94D09"/>
    <w:rsid w:val="00AA0F95"/>
    <w:rsid w:val="00AA28C9"/>
    <w:rsid w:val="00AA4071"/>
    <w:rsid w:val="00AA41E5"/>
    <w:rsid w:val="00AA5C22"/>
    <w:rsid w:val="00AB55EB"/>
    <w:rsid w:val="00AB708B"/>
    <w:rsid w:val="00AC06C3"/>
    <w:rsid w:val="00AC0EF4"/>
    <w:rsid w:val="00AC7E69"/>
    <w:rsid w:val="00AD04B1"/>
    <w:rsid w:val="00AD09D6"/>
    <w:rsid w:val="00AD1F1B"/>
    <w:rsid w:val="00AD4438"/>
    <w:rsid w:val="00AD4ED3"/>
    <w:rsid w:val="00AD606C"/>
    <w:rsid w:val="00AD66F3"/>
    <w:rsid w:val="00AE019B"/>
    <w:rsid w:val="00AE2C25"/>
    <w:rsid w:val="00AE5E08"/>
    <w:rsid w:val="00AE72D4"/>
    <w:rsid w:val="00AE78AF"/>
    <w:rsid w:val="00AF202A"/>
    <w:rsid w:val="00AF44E0"/>
    <w:rsid w:val="00AF4E73"/>
    <w:rsid w:val="00AF6494"/>
    <w:rsid w:val="00AF6AFA"/>
    <w:rsid w:val="00AF729D"/>
    <w:rsid w:val="00B00427"/>
    <w:rsid w:val="00B02CE9"/>
    <w:rsid w:val="00B07502"/>
    <w:rsid w:val="00B107AE"/>
    <w:rsid w:val="00B110A0"/>
    <w:rsid w:val="00B11F60"/>
    <w:rsid w:val="00B14E7F"/>
    <w:rsid w:val="00B15263"/>
    <w:rsid w:val="00B15724"/>
    <w:rsid w:val="00B15C6B"/>
    <w:rsid w:val="00B16082"/>
    <w:rsid w:val="00B17F5E"/>
    <w:rsid w:val="00B22179"/>
    <w:rsid w:val="00B23600"/>
    <w:rsid w:val="00B24E46"/>
    <w:rsid w:val="00B24F28"/>
    <w:rsid w:val="00B277F0"/>
    <w:rsid w:val="00B356C0"/>
    <w:rsid w:val="00B367ED"/>
    <w:rsid w:val="00B55058"/>
    <w:rsid w:val="00B55D9D"/>
    <w:rsid w:val="00B56ED2"/>
    <w:rsid w:val="00B60E4C"/>
    <w:rsid w:val="00B6260F"/>
    <w:rsid w:val="00B6682C"/>
    <w:rsid w:val="00B70882"/>
    <w:rsid w:val="00B7176B"/>
    <w:rsid w:val="00B72545"/>
    <w:rsid w:val="00B73FB4"/>
    <w:rsid w:val="00B753BA"/>
    <w:rsid w:val="00B8244A"/>
    <w:rsid w:val="00B8344F"/>
    <w:rsid w:val="00B84949"/>
    <w:rsid w:val="00B85238"/>
    <w:rsid w:val="00B85842"/>
    <w:rsid w:val="00B90105"/>
    <w:rsid w:val="00B912C4"/>
    <w:rsid w:val="00B91B5D"/>
    <w:rsid w:val="00B92C7B"/>
    <w:rsid w:val="00BA0C05"/>
    <w:rsid w:val="00BA51E9"/>
    <w:rsid w:val="00BB3919"/>
    <w:rsid w:val="00BB6D4B"/>
    <w:rsid w:val="00BB7509"/>
    <w:rsid w:val="00BC124D"/>
    <w:rsid w:val="00BC3341"/>
    <w:rsid w:val="00BC3B14"/>
    <w:rsid w:val="00BC4780"/>
    <w:rsid w:val="00BD304C"/>
    <w:rsid w:val="00BD3302"/>
    <w:rsid w:val="00BD69FB"/>
    <w:rsid w:val="00BE1F17"/>
    <w:rsid w:val="00BE45C7"/>
    <w:rsid w:val="00BE5568"/>
    <w:rsid w:val="00BE5AD4"/>
    <w:rsid w:val="00BF1C02"/>
    <w:rsid w:val="00BF4149"/>
    <w:rsid w:val="00BF704D"/>
    <w:rsid w:val="00C00203"/>
    <w:rsid w:val="00C03EF2"/>
    <w:rsid w:val="00C06405"/>
    <w:rsid w:val="00C07AC8"/>
    <w:rsid w:val="00C10B9D"/>
    <w:rsid w:val="00C11B72"/>
    <w:rsid w:val="00C12232"/>
    <w:rsid w:val="00C1338A"/>
    <w:rsid w:val="00C1477F"/>
    <w:rsid w:val="00C165D8"/>
    <w:rsid w:val="00C21D54"/>
    <w:rsid w:val="00C2221F"/>
    <w:rsid w:val="00C224D2"/>
    <w:rsid w:val="00C2521E"/>
    <w:rsid w:val="00C31077"/>
    <w:rsid w:val="00C352FF"/>
    <w:rsid w:val="00C42DEF"/>
    <w:rsid w:val="00C51E7E"/>
    <w:rsid w:val="00C54C5B"/>
    <w:rsid w:val="00C63341"/>
    <w:rsid w:val="00C63E0C"/>
    <w:rsid w:val="00C66FEA"/>
    <w:rsid w:val="00C71F5A"/>
    <w:rsid w:val="00C743AD"/>
    <w:rsid w:val="00C82794"/>
    <w:rsid w:val="00C82A17"/>
    <w:rsid w:val="00C82EB9"/>
    <w:rsid w:val="00C84D37"/>
    <w:rsid w:val="00C90CC4"/>
    <w:rsid w:val="00C9226F"/>
    <w:rsid w:val="00C977B5"/>
    <w:rsid w:val="00CA194F"/>
    <w:rsid w:val="00CA3FAF"/>
    <w:rsid w:val="00CA5797"/>
    <w:rsid w:val="00CA5A31"/>
    <w:rsid w:val="00CB0E0A"/>
    <w:rsid w:val="00CB25D4"/>
    <w:rsid w:val="00CB3111"/>
    <w:rsid w:val="00CB36E0"/>
    <w:rsid w:val="00CB652E"/>
    <w:rsid w:val="00CB6B8A"/>
    <w:rsid w:val="00CC0947"/>
    <w:rsid w:val="00CC154F"/>
    <w:rsid w:val="00CC2AAA"/>
    <w:rsid w:val="00CC2DB1"/>
    <w:rsid w:val="00CC62EF"/>
    <w:rsid w:val="00CD6476"/>
    <w:rsid w:val="00CE69CC"/>
    <w:rsid w:val="00CE6EDA"/>
    <w:rsid w:val="00CF0944"/>
    <w:rsid w:val="00CF140F"/>
    <w:rsid w:val="00CF2378"/>
    <w:rsid w:val="00CF2A39"/>
    <w:rsid w:val="00CF55B7"/>
    <w:rsid w:val="00CF6463"/>
    <w:rsid w:val="00CF6713"/>
    <w:rsid w:val="00CF72FE"/>
    <w:rsid w:val="00CF7C81"/>
    <w:rsid w:val="00D0045E"/>
    <w:rsid w:val="00D01F6E"/>
    <w:rsid w:val="00D02981"/>
    <w:rsid w:val="00D030EC"/>
    <w:rsid w:val="00D03B73"/>
    <w:rsid w:val="00D04674"/>
    <w:rsid w:val="00D04E9C"/>
    <w:rsid w:val="00D05405"/>
    <w:rsid w:val="00D056C2"/>
    <w:rsid w:val="00D069D0"/>
    <w:rsid w:val="00D079E0"/>
    <w:rsid w:val="00D1684E"/>
    <w:rsid w:val="00D22730"/>
    <w:rsid w:val="00D24D0A"/>
    <w:rsid w:val="00D252B2"/>
    <w:rsid w:val="00D27D4F"/>
    <w:rsid w:val="00D300A4"/>
    <w:rsid w:val="00D31373"/>
    <w:rsid w:val="00D32135"/>
    <w:rsid w:val="00D334ED"/>
    <w:rsid w:val="00D407F8"/>
    <w:rsid w:val="00D4138F"/>
    <w:rsid w:val="00D41FE1"/>
    <w:rsid w:val="00D45A4E"/>
    <w:rsid w:val="00D508BF"/>
    <w:rsid w:val="00D51562"/>
    <w:rsid w:val="00D52FD3"/>
    <w:rsid w:val="00D60B19"/>
    <w:rsid w:val="00D61113"/>
    <w:rsid w:val="00D630FD"/>
    <w:rsid w:val="00D63DC7"/>
    <w:rsid w:val="00D65091"/>
    <w:rsid w:val="00D701A6"/>
    <w:rsid w:val="00D721A2"/>
    <w:rsid w:val="00D72AFA"/>
    <w:rsid w:val="00D736B1"/>
    <w:rsid w:val="00D753CC"/>
    <w:rsid w:val="00D80D88"/>
    <w:rsid w:val="00D812A8"/>
    <w:rsid w:val="00D84896"/>
    <w:rsid w:val="00D85B30"/>
    <w:rsid w:val="00D862FD"/>
    <w:rsid w:val="00D91129"/>
    <w:rsid w:val="00D92A3F"/>
    <w:rsid w:val="00DA1188"/>
    <w:rsid w:val="00DA1612"/>
    <w:rsid w:val="00DA5C66"/>
    <w:rsid w:val="00DB14BA"/>
    <w:rsid w:val="00DB5504"/>
    <w:rsid w:val="00DB63C5"/>
    <w:rsid w:val="00DB7E8F"/>
    <w:rsid w:val="00DC03DD"/>
    <w:rsid w:val="00DC2D78"/>
    <w:rsid w:val="00DC5812"/>
    <w:rsid w:val="00DC5E4F"/>
    <w:rsid w:val="00DC774E"/>
    <w:rsid w:val="00DC796F"/>
    <w:rsid w:val="00DD0ADC"/>
    <w:rsid w:val="00DD10B9"/>
    <w:rsid w:val="00DD168C"/>
    <w:rsid w:val="00DD300E"/>
    <w:rsid w:val="00DD4407"/>
    <w:rsid w:val="00DD5F94"/>
    <w:rsid w:val="00DD7664"/>
    <w:rsid w:val="00DE3EB2"/>
    <w:rsid w:val="00DE7D5D"/>
    <w:rsid w:val="00DF1390"/>
    <w:rsid w:val="00DF13C2"/>
    <w:rsid w:val="00DF1A86"/>
    <w:rsid w:val="00DF22CC"/>
    <w:rsid w:val="00DF6E5B"/>
    <w:rsid w:val="00E00BA9"/>
    <w:rsid w:val="00E02D7F"/>
    <w:rsid w:val="00E04787"/>
    <w:rsid w:val="00E051FB"/>
    <w:rsid w:val="00E06018"/>
    <w:rsid w:val="00E10150"/>
    <w:rsid w:val="00E13303"/>
    <w:rsid w:val="00E155AE"/>
    <w:rsid w:val="00E16CA9"/>
    <w:rsid w:val="00E209CB"/>
    <w:rsid w:val="00E21400"/>
    <w:rsid w:val="00E2402A"/>
    <w:rsid w:val="00E255A5"/>
    <w:rsid w:val="00E26139"/>
    <w:rsid w:val="00E35C2D"/>
    <w:rsid w:val="00E3660E"/>
    <w:rsid w:val="00E47E0D"/>
    <w:rsid w:val="00E56477"/>
    <w:rsid w:val="00E5780A"/>
    <w:rsid w:val="00E5793F"/>
    <w:rsid w:val="00E62B9F"/>
    <w:rsid w:val="00E670C2"/>
    <w:rsid w:val="00E67AD5"/>
    <w:rsid w:val="00E75006"/>
    <w:rsid w:val="00E75148"/>
    <w:rsid w:val="00E7563B"/>
    <w:rsid w:val="00E758E4"/>
    <w:rsid w:val="00E7614A"/>
    <w:rsid w:val="00E818B1"/>
    <w:rsid w:val="00E82CD5"/>
    <w:rsid w:val="00E831B2"/>
    <w:rsid w:val="00E83372"/>
    <w:rsid w:val="00E846BE"/>
    <w:rsid w:val="00E85C01"/>
    <w:rsid w:val="00E87463"/>
    <w:rsid w:val="00E87E0F"/>
    <w:rsid w:val="00E90330"/>
    <w:rsid w:val="00E90C2A"/>
    <w:rsid w:val="00E914AB"/>
    <w:rsid w:val="00E9215B"/>
    <w:rsid w:val="00E92FC2"/>
    <w:rsid w:val="00E93D89"/>
    <w:rsid w:val="00E96F56"/>
    <w:rsid w:val="00EA0A4C"/>
    <w:rsid w:val="00EA1036"/>
    <w:rsid w:val="00EA205C"/>
    <w:rsid w:val="00EA4B30"/>
    <w:rsid w:val="00EB00FC"/>
    <w:rsid w:val="00EB04B7"/>
    <w:rsid w:val="00EB18D6"/>
    <w:rsid w:val="00EB18E2"/>
    <w:rsid w:val="00EB2D05"/>
    <w:rsid w:val="00EB3EC7"/>
    <w:rsid w:val="00EB4807"/>
    <w:rsid w:val="00EB5E51"/>
    <w:rsid w:val="00EB5F9A"/>
    <w:rsid w:val="00EB765A"/>
    <w:rsid w:val="00EC1171"/>
    <w:rsid w:val="00EC143F"/>
    <w:rsid w:val="00EC2540"/>
    <w:rsid w:val="00EC7447"/>
    <w:rsid w:val="00EC7FFA"/>
    <w:rsid w:val="00ED0EAE"/>
    <w:rsid w:val="00ED1553"/>
    <w:rsid w:val="00ED1FAC"/>
    <w:rsid w:val="00ED237E"/>
    <w:rsid w:val="00ED393C"/>
    <w:rsid w:val="00ED6FF8"/>
    <w:rsid w:val="00EE18F2"/>
    <w:rsid w:val="00EE1F4E"/>
    <w:rsid w:val="00EE6F58"/>
    <w:rsid w:val="00EE7378"/>
    <w:rsid w:val="00EF1C70"/>
    <w:rsid w:val="00EF3AAB"/>
    <w:rsid w:val="00EF75BE"/>
    <w:rsid w:val="00F03D24"/>
    <w:rsid w:val="00F07AF8"/>
    <w:rsid w:val="00F1217E"/>
    <w:rsid w:val="00F13F50"/>
    <w:rsid w:val="00F1475C"/>
    <w:rsid w:val="00F15FB7"/>
    <w:rsid w:val="00F162F3"/>
    <w:rsid w:val="00F23A82"/>
    <w:rsid w:val="00F23D92"/>
    <w:rsid w:val="00F2419E"/>
    <w:rsid w:val="00F2584A"/>
    <w:rsid w:val="00F26CC7"/>
    <w:rsid w:val="00F277BE"/>
    <w:rsid w:val="00F305BA"/>
    <w:rsid w:val="00F31E5C"/>
    <w:rsid w:val="00F32DE6"/>
    <w:rsid w:val="00F33D7E"/>
    <w:rsid w:val="00F36057"/>
    <w:rsid w:val="00F40A97"/>
    <w:rsid w:val="00F436C3"/>
    <w:rsid w:val="00F43BBB"/>
    <w:rsid w:val="00F46AFE"/>
    <w:rsid w:val="00F46B00"/>
    <w:rsid w:val="00F46CC1"/>
    <w:rsid w:val="00F47FB6"/>
    <w:rsid w:val="00F50DA1"/>
    <w:rsid w:val="00F519BB"/>
    <w:rsid w:val="00F5628C"/>
    <w:rsid w:val="00F562D5"/>
    <w:rsid w:val="00F56ADB"/>
    <w:rsid w:val="00F6393C"/>
    <w:rsid w:val="00F64A0D"/>
    <w:rsid w:val="00F65954"/>
    <w:rsid w:val="00F65C57"/>
    <w:rsid w:val="00F66E08"/>
    <w:rsid w:val="00F70EF3"/>
    <w:rsid w:val="00F71133"/>
    <w:rsid w:val="00F73BA3"/>
    <w:rsid w:val="00F73F38"/>
    <w:rsid w:val="00F760E2"/>
    <w:rsid w:val="00F77905"/>
    <w:rsid w:val="00F82289"/>
    <w:rsid w:val="00F82FA1"/>
    <w:rsid w:val="00F83366"/>
    <w:rsid w:val="00F8387E"/>
    <w:rsid w:val="00F846DB"/>
    <w:rsid w:val="00F847D2"/>
    <w:rsid w:val="00F874B2"/>
    <w:rsid w:val="00F92F4B"/>
    <w:rsid w:val="00F96E71"/>
    <w:rsid w:val="00FA3270"/>
    <w:rsid w:val="00FA53A3"/>
    <w:rsid w:val="00FB2043"/>
    <w:rsid w:val="00FB36ED"/>
    <w:rsid w:val="00FB524B"/>
    <w:rsid w:val="00FB5C3D"/>
    <w:rsid w:val="00FB7171"/>
    <w:rsid w:val="00FB72DB"/>
    <w:rsid w:val="00FC35E4"/>
    <w:rsid w:val="00FC381C"/>
    <w:rsid w:val="00FC72CD"/>
    <w:rsid w:val="00FD397E"/>
    <w:rsid w:val="00FD3A43"/>
    <w:rsid w:val="00FD61FB"/>
    <w:rsid w:val="00FD6271"/>
    <w:rsid w:val="00FE52CD"/>
    <w:rsid w:val="00FE6573"/>
    <w:rsid w:val="00FE714C"/>
    <w:rsid w:val="00FF0370"/>
    <w:rsid w:val="00FF1927"/>
    <w:rsid w:val="00FF251B"/>
    <w:rsid w:val="00FF370E"/>
    <w:rsid w:val="00FF37B2"/>
    <w:rsid w:val="00FF48D2"/>
    <w:rsid w:val="00FF49BB"/>
    <w:rsid w:val="00FF5DE1"/>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05A4"/>
  <w15:chartTrackingRefBased/>
  <w15:docId w15:val="{969BF125-1077-4016-B41E-9C86BE65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6F3"/>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6F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Songyu</dc:creator>
  <cp:keywords/>
  <dc:description/>
  <cp:lastModifiedBy>Yang, Songyu</cp:lastModifiedBy>
  <cp:revision>2</cp:revision>
  <dcterms:created xsi:type="dcterms:W3CDTF">2020-01-28T16:21:00Z</dcterms:created>
  <dcterms:modified xsi:type="dcterms:W3CDTF">2020-01-28T16:29:00Z</dcterms:modified>
</cp:coreProperties>
</file>