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E272" w14:textId="69F6B623" w:rsidR="004F425E" w:rsidRPr="00B62991" w:rsidRDefault="003E7C99" w:rsidP="001F668C">
      <w:pPr>
        <w:spacing w:after="0"/>
        <w:outlineLvl w:val="0"/>
        <w:rPr>
          <w:noProof/>
          <w:color w:val="BC0031"/>
          <w:sz w:val="36"/>
          <w:lang w:val="en-GB"/>
        </w:rPr>
      </w:pPr>
      <w:r>
        <w:rPr>
          <w:noProof/>
          <w:color w:val="BC0031"/>
          <w:sz w:val="36"/>
          <w:lang w:val="en-GB"/>
        </w:rPr>
        <w:t xml:space="preserve">Metadata </w:t>
      </w:r>
      <w:r w:rsidR="0054691D">
        <w:rPr>
          <w:noProof/>
          <w:color w:val="BC0031"/>
          <w:sz w:val="36"/>
          <w:lang w:val="en-GB"/>
        </w:rPr>
        <w:t>3A</w:t>
      </w:r>
    </w:p>
    <w:p w14:paraId="0154E80C" w14:textId="3156C896" w:rsidR="008B1EE7" w:rsidRPr="009A5C28" w:rsidRDefault="008B1EE7" w:rsidP="00CC58F8">
      <w:pPr>
        <w:rPr>
          <w:rFonts w:asciiTheme="minorHAnsi" w:hAnsiTheme="minorHAnsi"/>
          <w:noProof/>
          <w:color w:val="BC0031"/>
          <w:lang w:val="en-GB"/>
        </w:rPr>
      </w:pPr>
      <w:r w:rsidRPr="009A5C28">
        <w:rPr>
          <w:rFonts w:asciiTheme="minorHAnsi" w:eastAsia="Calibri" w:hAnsiTheme="minorHAnsi"/>
          <w:lang w:val="en-GB"/>
        </w:rPr>
        <w:t>Obligatory fields are indicated with an asterisk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231"/>
      </w:tblGrid>
      <w:tr w:rsidR="008B1EE7" w:rsidRPr="00361D40" w14:paraId="551AB992" w14:textId="77777777" w:rsidTr="009A5C28">
        <w:trPr>
          <w:trHeight w:val="273"/>
        </w:trPr>
        <w:tc>
          <w:tcPr>
            <w:tcW w:w="1507" w:type="pct"/>
          </w:tcPr>
          <w:p w14:paraId="301D878E" w14:textId="12A6ED14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Code </w:t>
            </w:r>
          </w:p>
        </w:tc>
        <w:tc>
          <w:tcPr>
            <w:tcW w:w="3493" w:type="pct"/>
          </w:tcPr>
          <w:p w14:paraId="77E6320B" w14:textId="5B89D325" w:rsidR="008B1EE7" w:rsidRPr="009B2640" w:rsidRDefault="00F84F82" w:rsidP="009A5C28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="003C416D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</w:p>
        </w:tc>
      </w:tr>
      <w:tr w:rsidR="003E7C99" w:rsidRPr="00FF5AA8" w14:paraId="7AA3F140" w14:textId="77777777" w:rsidTr="009A5C28">
        <w:tc>
          <w:tcPr>
            <w:tcW w:w="1507" w:type="pct"/>
          </w:tcPr>
          <w:p w14:paraId="7D4DED54" w14:textId="022D74E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Title *</w:t>
            </w:r>
          </w:p>
        </w:tc>
        <w:tc>
          <w:tcPr>
            <w:tcW w:w="3493" w:type="pct"/>
          </w:tcPr>
          <w:p w14:paraId="3196A0CF" w14:textId="43BC7653" w:rsidR="003E7C99" w:rsidRPr="009B2640" w:rsidRDefault="0054691D" w:rsidP="003E7C99">
            <w:pPr>
              <w:spacing w:line="240" w:lineRule="auto"/>
              <w:rPr>
                <w:rFonts w:asciiTheme="minorHAnsi" w:hAnsiTheme="minorHAnsi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A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Carbon stocks Wet and Dry</w:t>
            </w:r>
          </w:p>
        </w:tc>
      </w:tr>
      <w:tr w:rsidR="008B1EE7" w:rsidRPr="009A5C28" w14:paraId="290B214E" w14:textId="77777777" w:rsidTr="009A5C28">
        <w:trPr>
          <w:trHeight w:val="230"/>
        </w:trPr>
        <w:tc>
          <w:tcPr>
            <w:tcW w:w="1507" w:type="pct"/>
          </w:tcPr>
          <w:p w14:paraId="7E6B0C19" w14:textId="56DAE555" w:rsidR="008B1EE7" w:rsidRPr="009B2640" w:rsidRDefault="008B1EE7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Acronym</w:t>
            </w:r>
          </w:p>
        </w:tc>
        <w:tc>
          <w:tcPr>
            <w:tcW w:w="3493" w:type="pct"/>
          </w:tcPr>
          <w:p w14:paraId="6BBC11FE" w14:textId="21DF09E4" w:rsidR="008B1EE7" w:rsidRPr="009B2640" w:rsidRDefault="007875F2" w:rsidP="009A5C28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7875F2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CSWD</w:t>
            </w:r>
          </w:p>
        </w:tc>
      </w:tr>
      <w:tr w:rsidR="008B1EE7" w:rsidRPr="00361D40" w14:paraId="652B5CA2" w14:textId="77777777" w:rsidTr="009A5C28">
        <w:tc>
          <w:tcPr>
            <w:tcW w:w="1507" w:type="pct"/>
          </w:tcPr>
          <w:p w14:paraId="2B0973B2" w14:textId="358CC516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Path</w:t>
            </w:r>
          </w:p>
        </w:tc>
        <w:tc>
          <w:tcPr>
            <w:tcW w:w="3493" w:type="pct"/>
          </w:tcPr>
          <w:p w14:paraId="24A83CA5" w14:textId="41D63191" w:rsidR="008B1EE7" w:rsidRPr="009B2640" w:rsidRDefault="003C416D" w:rsidP="009A5C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Data archive\MS</w:t>
            </w:r>
            <w:r w:rsidR="0054691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</w:t>
            </w:r>
          </w:p>
        </w:tc>
      </w:tr>
      <w:tr w:rsidR="003E7C99" w:rsidRPr="00FF5AA8" w14:paraId="7A2D31FD" w14:textId="77777777" w:rsidTr="009A5C28">
        <w:trPr>
          <w:trHeight w:val="342"/>
        </w:trPr>
        <w:tc>
          <w:tcPr>
            <w:tcW w:w="1507" w:type="pct"/>
          </w:tcPr>
          <w:p w14:paraId="4B8D92C2" w14:textId="04CF2AB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Description * </w:t>
            </w:r>
          </w:p>
        </w:tc>
        <w:tc>
          <w:tcPr>
            <w:tcW w:w="3493" w:type="pct"/>
          </w:tcPr>
          <w:p w14:paraId="11440980" w14:textId="28114F0C" w:rsidR="003E7C99" w:rsidRPr="00AF1782" w:rsidRDefault="00E673A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F1782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It is the dataset of soil organic carbon </w:t>
            </w:r>
            <w:r w:rsidR="00EB0C17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stocks of the total soil profile and assessed to the depths from 10 to 60 cm. </w:t>
            </w:r>
            <w:r w:rsidRPr="00AF1782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Soil samples were collected from</w:t>
            </w:r>
            <w:r w:rsidR="00AF1782" w:rsidRPr="00AF1782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12</w:t>
            </w:r>
            <w:r w:rsidRPr="00AF1782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sampling plots</w:t>
            </w:r>
            <w:r w:rsidR="00AF1782" w:rsidRPr="00AF1782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based the combination of two contrasting bedrocks (limestone vs. acid rock) and two precipitation levels (wet vs. dry), having 3 replicates for each combination.</w:t>
            </w:r>
            <w:bookmarkStart w:id="0" w:name="_GoBack"/>
            <w:bookmarkEnd w:id="0"/>
          </w:p>
        </w:tc>
      </w:tr>
      <w:tr w:rsidR="003E7C99" w:rsidRPr="00361D40" w14:paraId="3C653C29" w14:textId="77777777" w:rsidTr="009A5C28">
        <w:tc>
          <w:tcPr>
            <w:tcW w:w="1507" w:type="pct"/>
          </w:tcPr>
          <w:p w14:paraId="32E3A37B" w14:textId="20582EB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Creator *</w:t>
            </w:r>
          </w:p>
        </w:tc>
        <w:tc>
          <w:tcPr>
            <w:tcW w:w="3493" w:type="pct"/>
          </w:tcPr>
          <w:p w14:paraId="6203872A" w14:textId="4F5F9CD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Songyu Yang</w:t>
            </w:r>
          </w:p>
        </w:tc>
      </w:tr>
      <w:tr w:rsidR="003E7C99" w:rsidRPr="00361D40" w14:paraId="755424BB" w14:textId="77777777" w:rsidTr="009A5C28">
        <w:tc>
          <w:tcPr>
            <w:tcW w:w="1507" w:type="pct"/>
          </w:tcPr>
          <w:p w14:paraId="12C1CBEF" w14:textId="67E75D8F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3493" w:type="pct"/>
          </w:tcPr>
          <w:p w14:paraId="2FB95DE7" w14:textId="22104D7B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C416D" w14:paraId="19D2E38F" w14:textId="77777777" w:rsidTr="009A5C28">
        <w:tc>
          <w:tcPr>
            <w:tcW w:w="1507" w:type="pct"/>
          </w:tcPr>
          <w:p w14:paraId="38121484" w14:textId="5A50A3C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Contributor</w:t>
            </w:r>
          </w:p>
        </w:tc>
        <w:tc>
          <w:tcPr>
            <w:tcW w:w="3493" w:type="pct"/>
          </w:tcPr>
          <w:p w14:paraId="28A9EC16" w14:textId="7041CC18" w:rsidR="003E7C99" w:rsidRPr="003C416D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</w:rPr>
            </w:pPr>
            <w:r w:rsidRPr="003C416D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Erik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>Cammeraat</w:t>
            </w:r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 and Boris Jansen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 </w:t>
            </w:r>
          </w:p>
        </w:tc>
      </w:tr>
      <w:tr w:rsidR="003E7C99" w:rsidRPr="00361D40" w14:paraId="0224416E" w14:textId="77777777" w:rsidTr="009A5C28">
        <w:trPr>
          <w:trHeight w:val="532"/>
        </w:trPr>
        <w:tc>
          <w:tcPr>
            <w:tcW w:w="1507" w:type="pct"/>
          </w:tcPr>
          <w:p w14:paraId="4A709713" w14:textId="06BD48F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Type</w:t>
            </w:r>
          </w:p>
        </w:tc>
        <w:tc>
          <w:tcPr>
            <w:tcW w:w="3493" w:type="pct"/>
          </w:tcPr>
          <w:p w14:paraId="5C60A199" w14:textId="2F07E70F" w:rsidR="003E7C99" w:rsidRPr="009B2640" w:rsidRDefault="007C3B93" w:rsidP="003E7C99">
            <w:pPr>
              <w:spacing w:line="240" w:lineRule="auto"/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Tabular data</w:t>
            </w:r>
          </w:p>
        </w:tc>
      </w:tr>
      <w:tr w:rsidR="003E7C99" w:rsidRPr="003E7C99" w14:paraId="168155AD" w14:textId="77777777" w:rsidTr="009A5C28">
        <w:trPr>
          <w:trHeight w:val="532"/>
        </w:trPr>
        <w:tc>
          <w:tcPr>
            <w:tcW w:w="1507" w:type="pct"/>
          </w:tcPr>
          <w:p w14:paraId="11E1FD05" w14:textId="3FFCBF5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Format *</w:t>
            </w:r>
          </w:p>
        </w:tc>
        <w:tc>
          <w:tcPr>
            <w:tcW w:w="3493" w:type="pct"/>
          </w:tcPr>
          <w:p w14:paraId="25B471E0" w14:textId="6F0E67B0" w:rsidR="003E7C99" w:rsidRPr="009B2640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csv and sav</w:t>
            </w:r>
          </w:p>
        </w:tc>
      </w:tr>
      <w:tr w:rsidR="003E7C99" w:rsidRPr="00361D40" w14:paraId="1DAB5DEF" w14:textId="77777777" w:rsidTr="009A5C28">
        <w:trPr>
          <w:trHeight w:val="532"/>
        </w:trPr>
        <w:tc>
          <w:tcPr>
            <w:tcW w:w="1507" w:type="pct"/>
          </w:tcPr>
          <w:p w14:paraId="5601601B" w14:textId="2D498A5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OS</w:t>
            </w:r>
          </w:p>
        </w:tc>
        <w:tc>
          <w:tcPr>
            <w:tcW w:w="3493" w:type="pct"/>
          </w:tcPr>
          <w:p w14:paraId="0DD0C893" w14:textId="16ACBD48" w:rsidR="003E7C99" w:rsidRPr="009B2640" w:rsidRDefault="003E7C99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</w:p>
        </w:tc>
      </w:tr>
      <w:tr w:rsidR="003E7C99" w:rsidRPr="00361D40" w14:paraId="276E809B" w14:textId="77777777" w:rsidTr="009A5C28">
        <w:tc>
          <w:tcPr>
            <w:tcW w:w="1507" w:type="pct"/>
          </w:tcPr>
          <w:p w14:paraId="43EEBA14" w14:textId="129BB6E3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Software</w:t>
            </w:r>
          </w:p>
        </w:tc>
        <w:tc>
          <w:tcPr>
            <w:tcW w:w="3493" w:type="pct"/>
          </w:tcPr>
          <w:p w14:paraId="3865760C" w14:textId="6CB747C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Excel and SPSS</w:t>
            </w:r>
          </w:p>
        </w:tc>
      </w:tr>
      <w:tr w:rsidR="003E7C99" w:rsidRPr="00361D40" w14:paraId="2E579EDD" w14:textId="77777777" w:rsidTr="009A5C28">
        <w:tc>
          <w:tcPr>
            <w:tcW w:w="1507" w:type="pct"/>
          </w:tcPr>
          <w:p w14:paraId="55487068" w14:textId="4466A212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Identifier</w:t>
            </w:r>
          </w:p>
        </w:tc>
        <w:tc>
          <w:tcPr>
            <w:tcW w:w="3493" w:type="pct"/>
          </w:tcPr>
          <w:p w14:paraId="570D252A" w14:textId="4E49193F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</w:pPr>
          </w:p>
        </w:tc>
      </w:tr>
      <w:tr w:rsidR="003E7C99" w:rsidRPr="00361D40" w14:paraId="0FA259F7" w14:textId="77777777" w:rsidTr="009A5C28">
        <w:tc>
          <w:tcPr>
            <w:tcW w:w="1507" w:type="pct"/>
          </w:tcPr>
          <w:p w14:paraId="72765F9F" w14:textId="15A475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3493" w:type="pct"/>
          </w:tcPr>
          <w:p w14:paraId="423F40B6" w14:textId="655A6737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61D40" w14:paraId="62B7CE4E" w14:textId="77777777" w:rsidTr="009A5C28">
        <w:tc>
          <w:tcPr>
            <w:tcW w:w="1507" w:type="pct"/>
          </w:tcPr>
          <w:p w14:paraId="0A66732B" w14:textId="6973F00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Rights *</w:t>
            </w:r>
          </w:p>
        </w:tc>
        <w:tc>
          <w:tcPr>
            <w:tcW w:w="3493" w:type="pct"/>
          </w:tcPr>
          <w:p w14:paraId="175CEB33" w14:textId="253AE16A" w:rsidR="003E7C99" w:rsidRPr="009B2640" w:rsidRDefault="003C416D" w:rsidP="003E7C99">
            <w:pPr>
              <w:tabs>
                <w:tab w:val="left" w:pos="1607"/>
              </w:tabs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IBED,</w:t>
            </w:r>
            <w:r w:rsidR="003E7C99" w:rsidRPr="009B2640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University of Amsterdam</w:t>
            </w:r>
          </w:p>
        </w:tc>
      </w:tr>
      <w:tr w:rsidR="003E7C99" w:rsidRPr="00361D40" w14:paraId="43BE7056" w14:textId="77777777" w:rsidTr="009A5C28">
        <w:tc>
          <w:tcPr>
            <w:tcW w:w="1507" w:type="pct"/>
          </w:tcPr>
          <w:p w14:paraId="2E4505AE" w14:textId="7612E1C9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3493" w:type="pct"/>
          </w:tcPr>
          <w:p w14:paraId="28F7C146" w14:textId="3E99AC2F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English</w:t>
            </w:r>
          </w:p>
        </w:tc>
      </w:tr>
      <w:tr w:rsidR="003E7C99" w:rsidRPr="00FF5AA8" w14:paraId="1C0B53DF" w14:textId="77777777" w:rsidTr="009A5C28">
        <w:tc>
          <w:tcPr>
            <w:tcW w:w="1507" w:type="pct"/>
          </w:tcPr>
          <w:p w14:paraId="5A2116A3" w14:textId="65758C9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SpatialCoverage</w:t>
            </w:r>
          </w:p>
        </w:tc>
        <w:tc>
          <w:tcPr>
            <w:tcW w:w="3493" w:type="pct"/>
          </w:tcPr>
          <w:p w14:paraId="426E49A0" w14:textId="1144F534" w:rsidR="009C4D5C" w:rsidRPr="009C4D5C" w:rsidRDefault="009C4D5C" w:rsidP="003E7C99">
            <w:pPr>
              <w:spacing w:line="240" w:lineRule="auto"/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Wet site (Caj): </w:t>
            </w:r>
            <w:r w:rsidR="003C416D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Coordinate: 7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° 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11</w:t>
            </w:r>
            <w:r w:rsidR="003C416D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’</w:t>
            </w:r>
            <w:r w:rsidR="007C3B93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3C416D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S, 78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3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5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’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W, altitudes: 3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50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0 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–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3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72</w:t>
            </w:r>
            <w:r w:rsidR="003C416D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0 m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; 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Dry site (Hua): Coordinate: 9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22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’ S, 77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59’ W, altitudes: 3490 – 3700 m</w:t>
            </w:r>
          </w:p>
        </w:tc>
      </w:tr>
      <w:tr w:rsidR="003E7C99" w:rsidRPr="00361D40" w14:paraId="5617AF8A" w14:textId="77777777" w:rsidTr="009A5C28">
        <w:tc>
          <w:tcPr>
            <w:tcW w:w="1507" w:type="pct"/>
          </w:tcPr>
          <w:p w14:paraId="4AD6587E" w14:textId="790B74F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ProjectionSystem *</w:t>
            </w:r>
          </w:p>
        </w:tc>
        <w:tc>
          <w:tcPr>
            <w:tcW w:w="3493" w:type="pct"/>
          </w:tcPr>
          <w:p w14:paraId="1C0DBCFB" w14:textId="1D9A5AC0" w:rsidR="003E7C99" w:rsidRPr="009B2640" w:rsidRDefault="00BD472B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E673AD">
              <w:rPr>
                <w:rFonts w:asciiTheme="minorHAnsi" w:hAnsiTheme="minorHAnsi"/>
                <w:i/>
                <w:noProof/>
                <w:color w:val="FF0000"/>
                <w:sz w:val="18"/>
                <w:szCs w:val="18"/>
                <w:lang w:val="en-GB"/>
              </w:rPr>
              <w:t>Not available</w:t>
            </w:r>
          </w:p>
        </w:tc>
      </w:tr>
      <w:tr w:rsidR="003E7C99" w:rsidRPr="00FF5AA8" w14:paraId="10CBF5E3" w14:textId="77777777" w:rsidTr="009A5C28">
        <w:tc>
          <w:tcPr>
            <w:tcW w:w="1507" w:type="pct"/>
          </w:tcPr>
          <w:p w14:paraId="41714600" w14:textId="3A00EB2A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TemporalCoverage *</w:t>
            </w:r>
          </w:p>
        </w:tc>
        <w:tc>
          <w:tcPr>
            <w:tcW w:w="3493" w:type="pct"/>
          </w:tcPr>
          <w:p w14:paraId="319734A9" w14:textId="526E2009" w:rsidR="003E7C99" w:rsidRPr="009B2640" w:rsidRDefault="007C3B93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Period 1</w:t>
            </w:r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Caj</w:t>
            </w:r>
            <w:proofErr w:type="spellEnd"/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)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: </w:t>
            </w:r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2015-07-02 to 2015-07-03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, period 2</w:t>
            </w:r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 (Hua)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: </w:t>
            </w:r>
            <w:r w:rsidR="009C4D5C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2016-07-02 to 2016-07-12</w:t>
            </w:r>
          </w:p>
        </w:tc>
      </w:tr>
      <w:tr w:rsidR="003E7C99" w:rsidRPr="00FF5AA8" w14:paraId="0B3159EE" w14:textId="77777777" w:rsidTr="009A5C28">
        <w:trPr>
          <w:trHeight w:val="77"/>
        </w:trPr>
        <w:tc>
          <w:tcPr>
            <w:tcW w:w="1507" w:type="pct"/>
          </w:tcPr>
          <w:p w14:paraId="4736A2B6" w14:textId="60CB897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Keywords *</w:t>
            </w:r>
          </w:p>
        </w:tc>
        <w:tc>
          <w:tcPr>
            <w:tcW w:w="3493" w:type="pct"/>
          </w:tcPr>
          <w:p w14:paraId="160CFC22" w14:textId="05AAB61A" w:rsidR="003E7C99" w:rsidRPr="009B2640" w:rsidRDefault="003C416D" w:rsidP="003E7C99">
            <w:pPr>
              <w:tabs>
                <w:tab w:val="left" w:pos="1356"/>
              </w:tabs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Soil organic carbon stocks, </w:t>
            </w:r>
            <w:r w:rsidR="00EB0C17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precipitation</w:t>
            </w:r>
            <w:r w:rsidR="00AF1782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, lithology</w:t>
            </w:r>
          </w:p>
        </w:tc>
      </w:tr>
      <w:tr w:rsidR="003E7C99" w:rsidRPr="00FF5AA8" w14:paraId="33E0466B" w14:textId="77777777" w:rsidTr="009A5C28">
        <w:trPr>
          <w:trHeight w:val="77"/>
        </w:trPr>
        <w:tc>
          <w:tcPr>
            <w:tcW w:w="1507" w:type="pct"/>
          </w:tcPr>
          <w:p w14:paraId="45519B5B" w14:textId="16B9DD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SizeMB * </w:t>
            </w:r>
          </w:p>
        </w:tc>
        <w:tc>
          <w:tcPr>
            <w:tcW w:w="3493" w:type="pct"/>
          </w:tcPr>
          <w:p w14:paraId="66C1CCF2" w14:textId="7627C691" w:rsidR="003E7C99" w:rsidRPr="009B2640" w:rsidRDefault="00EB0C17" w:rsidP="003E7C99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KB for the csv file and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4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KB for the sav file</w:t>
            </w:r>
          </w:p>
        </w:tc>
      </w:tr>
    </w:tbl>
    <w:p w14:paraId="42A5CBCB" w14:textId="3EC0511F" w:rsidR="009A5C28" w:rsidRPr="009B2640" w:rsidRDefault="00AD2135" w:rsidP="009B2640">
      <w:pPr>
        <w:spacing w:after="0" w:line="240" w:lineRule="auto"/>
        <w:rPr>
          <w:noProof/>
          <w:color w:val="BC0031"/>
          <w:lang w:val="en-GB"/>
        </w:rPr>
      </w:pPr>
      <w:r>
        <w:rPr>
          <w:noProof/>
          <w:color w:val="BC0031"/>
          <w:lang w:val="en-GB"/>
        </w:rPr>
        <w:br w:type="page"/>
      </w:r>
      <w:r w:rsidR="009A5C28">
        <w:rPr>
          <w:noProof/>
          <w:color w:val="BC0031"/>
          <w:sz w:val="28"/>
          <w:szCs w:val="28"/>
          <w:lang w:val="en-GB"/>
        </w:rPr>
        <w:lastRenderedPageBreak/>
        <w:t>Column description</w:t>
      </w:r>
    </w:p>
    <w:p w14:paraId="16725CAD" w14:textId="458D55C7" w:rsidR="009A5C28" w:rsidRPr="00AD2135" w:rsidRDefault="009A5C28" w:rsidP="00AF1782">
      <w:pPr>
        <w:rPr>
          <w:rFonts w:asciiTheme="minorHAnsi" w:hAnsiTheme="minorHAnsi"/>
          <w:bCs/>
          <w:i/>
          <w:iCs/>
          <w:noProof/>
          <w:sz w:val="20"/>
          <w:szCs w:val="20"/>
          <w:lang w:val="en-GB"/>
        </w:rPr>
      </w:pPr>
      <w:r w:rsidRPr="00AD2135">
        <w:rPr>
          <w:rFonts w:asciiTheme="minorHAnsi" w:eastAsia="Calibri" w:hAnsiTheme="minorHAnsi"/>
          <w:sz w:val="20"/>
          <w:szCs w:val="20"/>
          <w:lang w:val="en-GB"/>
        </w:rPr>
        <w:t>If the dataset is tabular, it is obligatory to describe the content of each column.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1352"/>
        <w:gridCol w:w="1636"/>
        <w:gridCol w:w="3871"/>
      </w:tblGrid>
      <w:tr w:rsidR="009A5C28" w:rsidRPr="00AD2135" w14:paraId="7D943EE9" w14:textId="77777777" w:rsidTr="001B2D3E">
        <w:tc>
          <w:tcPr>
            <w:tcW w:w="1155" w:type="pct"/>
          </w:tcPr>
          <w:p w14:paraId="5CD963F9" w14:textId="7EED0676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Column name</w:t>
            </w:r>
          </w:p>
        </w:tc>
        <w:tc>
          <w:tcPr>
            <w:tcW w:w="758" w:type="pct"/>
          </w:tcPr>
          <w:p w14:paraId="1ADD37C7" w14:textId="1204F595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unit</w:t>
            </w:r>
          </w:p>
        </w:tc>
        <w:tc>
          <w:tcPr>
            <w:tcW w:w="917" w:type="pct"/>
          </w:tcPr>
          <w:p w14:paraId="33B18B7C" w14:textId="27F61C3A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Data type +</w:t>
            </w:r>
          </w:p>
        </w:tc>
        <w:tc>
          <w:tcPr>
            <w:tcW w:w="2170" w:type="pct"/>
          </w:tcPr>
          <w:p w14:paraId="3D40E4BF" w14:textId="38A850FC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description</w:t>
            </w:r>
          </w:p>
        </w:tc>
      </w:tr>
      <w:tr w:rsidR="001B2D3E" w:rsidRPr="00FF5AA8" w14:paraId="7A73C21D" w14:textId="77777777" w:rsidTr="001B2D3E">
        <w:tc>
          <w:tcPr>
            <w:tcW w:w="1155" w:type="pct"/>
            <w:vAlign w:val="bottom"/>
          </w:tcPr>
          <w:p w14:paraId="5FD73DE7" w14:textId="6D11D8BF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758" w:type="pct"/>
            <w:vAlign w:val="bottom"/>
          </w:tcPr>
          <w:p w14:paraId="5F6EBF53" w14:textId="1D3A3A55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917" w:type="pct"/>
            <w:vAlign w:val="bottom"/>
          </w:tcPr>
          <w:p w14:paraId="36AECF62" w14:textId="7316A579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70" w:type="pct"/>
            <w:vAlign w:val="bottom"/>
          </w:tcPr>
          <w:p w14:paraId="6B56C295" w14:textId="426BD00F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Place where the sample were taken (</w:t>
            </w: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[wet site] vs. Hua [dry site])</w:t>
            </w:r>
          </w:p>
        </w:tc>
      </w:tr>
      <w:tr w:rsidR="001B2D3E" w:rsidRPr="00FF5AA8" w14:paraId="030E1C27" w14:textId="77777777" w:rsidTr="001B2D3E">
        <w:tc>
          <w:tcPr>
            <w:tcW w:w="1155" w:type="pct"/>
            <w:vAlign w:val="bottom"/>
          </w:tcPr>
          <w:p w14:paraId="45EAD9A1" w14:textId="1E82D668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Lithology</w:t>
            </w:r>
            <w:proofErr w:type="spellEnd"/>
          </w:p>
        </w:tc>
        <w:tc>
          <w:tcPr>
            <w:tcW w:w="758" w:type="pct"/>
            <w:vAlign w:val="bottom"/>
          </w:tcPr>
          <w:p w14:paraId="5DABE282" w14:textId="62496E57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917" w:type="pct"/>
            <w:vAlign w:val="bottom"/>
          </w:tcPr>
          <w:p w14:paraId="261D7A15" w14:textId="403CCEC4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70" w:type="pct"/>
            <w:vAlign w:val="bottom"/>
          </w:tcPr>
          <w:p w14:paraId="53E13DD6" w14:textId="433ECFB6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Lihtology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(LS: limestone soil, GS: acid rock soil)</w:t>
            </w:r>
          </w:p>
        </w:tc>
      </w:tr>
      <w:tr w:rsidR="001B2D3E" w:rsidRPr="00FF5AA8" w14:paraId="2991D0EF" w14:textId="77777777" w:rsidTr="001B2D3E">
        <w:tc>
          <w:tcPr>
            <w:tcW w:w="1155" w:type="pct"/>
            <w:vAlign w:val="bottom"/>
          </w:tcPr>
          <w:p w14:paraId="4F5ABCBD" w14:textId="0A8AC6C8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Group</w:t>
            </w:r>
          </w:p>
        </w:tc>
        <w:tc>
          <w:tcPr>
            <w:tcW w:w="758" w:type="pct"/>
            <w:vAlign w:val="bottom"/>
          </w:tcPr>
          <w:p w14:paraId="67077DD2" w14:textId="44D9150A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917" w:type="pct"/>
            <w:vAlign w:val="bottom"/>
          </w:tcPr>
          <w:p w14:paraId="2572C5FF" w14:textId="0F91B938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70" w:type="pct"/>
            <w:vAlign w:val="bottom"/>
          </w:tcPr>
          <w:p w14:paraId="3F227FE9" w14:textId="6761BB6D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Each combination of Place and lithology</w:t>
            </w:r>
          </w:p>
        </w:tc>
      </w:tr>
      <w:tr w:rsidR="001B2D3E" w:rsidRPr="00FF5AA8" w14:paraId="3179A7F7" w14:textId="77777777" w:rsidTr="001B2D3E">
        <w:tc>
          <w:tcPr>
            <w:tcW w:w="1155" w:type="pct"/>
            <w:vAlign w:val="bottom"/>
          </w:tcPr>
          <w:p w14:paraId="5A0918A5" w14:textId="2633CA0B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GroupNo</w:t>
            </w:r>
            <w:proofErr w:type="spellEnd"/>
          </w:p>
        </w:tc>
        <w:tc>
          <w:tcPr>
            <w:tcW w:w="758" w:type="pct"/>
            <w:vAlign w:val="bottom"/>
          </w:tcPr>
          <w:p w14:paraId="2A035825" w14:textId="0658E8F4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917" w:type="pct"/>
            <w:vAlign w:val="bottom"/>
          </w:tcPr>
          <w:p w14:paraId="5D5953FD" w14:textId="03982767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70" w:type="pct"/>
            <w:vAlign w:val="bottom"/>
          </w:tcPr>
          <w:p w14:paraId="46F7F4DD" w14:textId="5FEEF04C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Numbered group: 1 = Hua-LS, 2 = Hua-GS, 3 = </w:t>
            </w: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-LS, 4 = </w:t>
            </w: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-GS</w:t>
            </w:r>
          </w:p>
        </w:tc>
      </w:tr>
      <w:tr w:rsidR="001B2D3E" w:rsidRPr="00FF5AA8" w14:paraId="667649D8" w14:textId="77777777" w:rsidTr="001B2D3E">
        <w:tc>
          <w:tcPr>
            <w:tcW w:w="1155" w:type="pct"/>
            <w:vAlign w:val="bottom"/>
          </w:tcPr>
          <w:p w14:paraId="232D74DE" w14:textId="558B2909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Cstock10</w:t>
            </w:r>
          </w:p>
        </w:tc>
        <w:tc>
          <w:tcPr>
            <w:tcW w:w="758" w:type="pct"/>
            <w:vAlign w:val="bottom"/>
          </w:tcPr>
          <w:p w14:paraId="21E91CBA" w14:textId="0A22B289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06FFC844" w14:textId="470822BF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1DB29120" w14:textId="45BBA831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the depth of 10 cm</w:t>
            </w:r>
          </w:p>
        </w:tc>
      </w:tr>
      <w:tr w:rsidR="001B2D3E" w:rsidRPr="00FF5AA8" w14:paraId="5B6A82CD" w14:textId="77777777" w:rsidTr="001B2D3E">
        <w:tc>
          <w:tcPr>
            <w:tcW w:w="1155" w:type="pct"/>
            <w:vAlign w:val="bottom"/>
          </w:tcPr>
          <w:p w14:paraId="62FBDFC6" w14:textId="12656E2B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Cstock20</w:t>
            </w:r>
          </w:p>
        </w:tc>
        <w:tc>
          <w:tcPr>
            <w:tcW w:w="758" w:type="pct"/>
            <w:vAlign w:val="bottom"/>
          </w:tcPr>
          <w:p w14:paraId="73C495E1" w14:textId="316A3C94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57B6C89B" w14:textId="2749823E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1A3AC37E" w14:textId="55407DB3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the depth of 20 cm</w:t>
            </w:r>
          </w:p>
        </w:tc>
      </w:tr>
      <w:tr w:rsidR="001B2D3E" w:rsidRPr="00FF5AA8" w14:paraId="1A1DD719" w14:textId="77777777" w:rsidTr="001B2D3E">
        <w:tc>
          <w:tcPr>
            <w:tcW w:w="1155" w:type="pct"/>
            <w:vAlign w:val="bottom"/>
          </w:tcPr>
          <w:p w14:paraId="2028DDFF" w14:textId="2DB6D88B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Cstock30</w:t>
            </w:r>
          </w:p>
        </w:tc>
        <w:tc>
          <w:tcPr>
            <w:tcW w:w="758" w:type="pct"/>
            <w:vAlign w:val="bottom"/>
          </w:tcPr>
          <w:p w14:paraId="5AD94C36" w14:textId="7CDEA931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5D4DA5E2" w14:textId="79DC6F55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06E1A905" w14:textId="0269A836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the depth of 30 cm</w:t>
            </w:r>
          </w:p>
        </w:tc>
      </w:tr>
      <w:tr w:rsidR="001B2D3E" w:rsidRPr="00FF5AA8" w14:paraId="3E8E4847" w14:textId="77777777" w:rsidTr="001B2D3E">
        <w:tc>
          <w:tcPr>
            <w:tcW w:w="1155" w:type="pct"/>
            <w:vAlign w:val="bottom"/>
          </w:tcPr>
          <w:p w14:paraId="6F7B2706" w14:textId="443EC298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Cstock40</w:t>
            </w:r>
          </w:p>
        </w:tc>
        <w:tc>
          <w:tcPr>
            <w:tcW w:w="758" w:type="pct"/>
            <w:vAlign w:val="bottom"/>
          </w:tcPr>
          <w:p w14:paraId="6294F834" w14:textId="68AEE865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0802D9CE" w14:textId="0B466DEB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706A716D" w14:textId="47014BE1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the depth of 40 cm</w:t>
            </w:r>
          </w:p>
        </w:tc>
      </w:tr>
      <w:tr w:rsidR="001B2D3E" w:rsidRPr="00FF5AA8" w14:paraId="7D6A17EF" w14:textId="77777777" w:rsidTr="001B2D3E">
        <w:tc>
          <w:tcPr>
            <w:tcW w:w="1155" w:type="pct"/>
            <w:vAlign w:val="bottom"/>
          </w:tcPr>
          <w:p w14:paraId="05D188FE" w14:textId="0E4CCB90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Cstock50</w:t>
            </w:r>
          </w:p>
        </w:tc>
        <w:tc>
          <w:tcPr>
            <w:tcW w:w="758" w:type="pct"/>
            <w:vAlign w:val="bottom"/>
          </w:tcPr>
          <w:p w14:paraId="52812082" w14:textId="6CFA5492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3EC909D2" w14:textId="3005954A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418A9B06" w14:textId="7DE3A320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the depth of 50 cm</w:t>
            </w:r>
          </w:p>
        </w:tc>
      </w:tr>
      <w:tr w:rsidR="001B2D3E" w:rsidRPr="00FF5AA8" w14:paraId="61BE97CC" w14:textId="77777777" w:rsidTr="001B2D3E">
        <w:tc>
          <w:tcPr>
            <w:tcW w:w="1155" w:type="pct"/>
            <w:vAlign w:val="bottom"/>
          </w:tcPr>
          <w:p w14:paraId="00CEF2B5" w14:textId="1AC2DABA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Cstock60</w:t>
            </w:r>
          </w:p>
        </w:tc>
        <w:tc>
          <w:tcPr>
            <w:tcW w:w="758" w:type="pct"/>
            <w:vAlign w:val="bottom"/>
          </w:tcPr>
          <w:p w14:paraId="1E41B97C" w14:textId="02735033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5A759892" w14:textId="34D8A303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6C6B0C2A" w14:textId="74124F40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the depth of 60 cm</w:t>
            </w:r>
          </w:p>
        </w:tc>
      </w:tr>
      <w:tr w:rsidR="001B2D3E" w:rsidRPr="00361D40" w14:paraId="17D0B48B" w14:textId="77777777" w:rsidTr="001B2D3E">
        <w:tc>
          <w:tcPr>
            <w:tcW w:w="1155" w:type="pct"/>
            <w:vAlign w:val="bottom"/>
          </w:tcPr>
          <w:p w14:paraId="67D266B7" w14:textId="63172568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Cstock</w:t>
            </w:r>
            <w:proofErr w:type="spellEnd"/>
          </w:p>
        </w:tc>
        <w:tc>
          <w:tcPr>
            <w:tcW w:w="758" w:type="pct"/>
            <w:vAlign w:val="bottom"/>
          </w:tcPr>
          <w:p w14:paraId="0DBB731E" w14:textId="2BCC014C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6B3C0A4E" w14:textId="484EDD32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79644C51" w14:textId="56D50935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Total SOC stock</w:t>
            </w:r>
          </w:p>
        </w:tc>
      </w:tr>
      <w:tr w:rsidR="001B2D3E" w:rsidRPr="00FF5AA8" w14:paraId="09F3E0CE" w14:textId="77777777" w:rsidTr="001B2D3E">
        <w:tc>
          <w:tcPr>
            <w:tcW w:w="1155" w:type="pct"/>
            <w:vAlign w:val="bottom"/>
          </w:tcPr>
          <w:p w14:paraId="233B72F4" w14:textId="37F348FD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Nstock10</w:t>
            </w:r>
          </w:p>
        </w:tc>
        <w:tc>
          <w:tcPr>
            <w:tcW w:w="758" w:type="pct"/>
            <w:vAlign w:val="bottom"/>
          </w:tcPr>
          <w:p w14:paraId="3AB5C007" w14:textId="4772F987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69949329" w14:textId="1EC7517C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03DE807D" w14:textId="5F47F000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the depth of 10 cm</w:t>
            </w:r>
          </w:p>
        </w:tc>
      </w:tr>
      <w:tr w:rsidR="001B2D3E" w:rsidRPr="00FF5AA8" w14:paraId="34073A92" w14:textId="77777777" w:rsidTr="001B2D3E">
        <w:tc>
          <w:tcPr>
            <w:tcW w:w="1155" w:type="pct"/>
            <w:vAlign w:val="bottom"/>
          </w:tcPr>
          <w:p w14:paraId="2CE70DAB" w14:textId="52CA8E00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Nstock20</w:t>
            </w:r>
          </w:p>
        </w:tc>
        <w:tc>
          <w:tcPr>
            <w:tcW w:w="758" w:type="pct"/>
            <w:vAlign w:val="bottom"/>
          </w:tcPr>
          <w:p w14:paraId="37042732" w14:textId="56E74604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35608D58" w14:textId="22C9867D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541B3D30" w14:textId="34D36E15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the depth of 20 cm</w:t>
            </w:r>
          </w:p>
        </w:tc>
      </w:tr>
      <w:tr w:rsidR="001B2D3E" w:rsidRPr="00FF5AA8" w14:paraId="10676422" w14:textId="77777777" w:rsidTr="001B2D3E">
        <w:tc>
          <w:tcPr>
            <w:tcW w:w="1155" w:type="pct"/>
            <w:vAlign w:val="bottom"/>
          </w:tcPr>
          <w:p w14:paraId="2B1E5764" w14:textId="74EA13B9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Nstock30</w:t>
            </w:r>
          </w:p>
        </w:tc>
        <w:tc>
          <w:tcPr>
            <w:tcW w:w="758" w:type="pct"/>
            <w:vAlign w:val="bottom"/>
          </w:tcPr>
          <w:p w14:paraId="460B6361" w14:textId="4BA54F95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3DF06817" w14:textId="105540D0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4AD60AC1" w14:textId="014D288A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the depth of 30 cm</w:t>
            </w:r>
          </w:p>
        </w:tc>
      </w:tr>
      <w:tr w:rsidR="001B2D3E" w:rsidRPr="00FF5AA8" w14:paraId="7B789522" w14:textId="77777777" w:rsidTr="001B2D3E">
        <w:tc>
          <w:tcPr>
            <w:tcW w:w="1155" w:type="pct"/>
            <w:vAlign w:val="bottom"/>
          </w:tcPr>
          <w:p w14:paraId="4679B30C" w14:textId="40002940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Nstock40</w:t>
            </w:r>
          </w:p>
        </w:tc>
        <w:tc>
          <w:tcPr>
            <w:tcW w:w="758" w:type="pct"/>
            <w:vAlign w:val="bottom"/>
          </w:tcPr>
          <w:p w14:paraId="45D69B4A" w14:textId="39F70DDC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55104E1B" w14:textId="62AC2968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6D91550C" w14:textId="59BFCE46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the depth of 40 cm</w:t>
            </w:r>
          </w:p>
        </w:tc>
      </w:tr>
      <w:tr w:rsidR="001B2D3E" w:rsidRPr="00FF5AA8" w14:paraId="60C19BD5" w14:textId="77777777" w:rsidTr="001B2D3E">
        <w:tc>
          <w:tcPr>
            <w:tcW w:w="1155" w:type="pct"/>
            <w:vAlign w:val="bottom"/>
          </w:tcPr>
          <w:p w14:paraId="2494E955" w14:textId="30A2FC4A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Nstock50</w:t>
            </w:r>
          </w:p>
        </w:tc>
        <w:tc>
          <w:tcPr>
            <w:tcW w:w="758" w:type="pct"/>
            <w:vAlign w:val="bottom"/>
          </w:tcPr>
          <w:p w14:paraId="7FC81A5F" w14:textId="092DEEFE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3AA8AD11" w14:textId="37D62F74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74043712" w14:textId="7A6089C4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the depth of 50 cm</w:t>
            </w:r>
          </w:p>
        </w:tc>
      </w:tr>
      <w:tr w:rsidR="001B2D3E" w:rsidRPr="00FF5AA8" w14:paraId="61EE0F61" w14:textId="77777777" w:rsidTr="001B2D3E">
        <w:tc>
          <w:tcPr>
            <w:tcW w:w="1155" w:type="pct"/>
            <w:vAlign w:val="bottom"/>
          </w:tcPr>
          <w:p w14:paraId="5E52D9A9" w14:textId="55F2F6DF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Nstock60</w:t>
            </w:r>
          </w:p>
        </w:tc>
        <w:tc>
          <w:tcPr>
            <w:tcW w:w="758" w:type="pct"/>
            <w:vAlign w:val="bottom"/>
          </w:tcPr>
          <w:p w14:paraId="2B7522FB" w14:textId="4032E2D2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47CBB0F4" w14:textId="2716494A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6C505C33" w14:textId="18753332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the depth of 60 cm</w:t>
            </w:r>
          </w:p>
        </w:tc>
      </w:tr>
      <w:tr w:rsidR="001B2D3E" w:rsidRPr="00F84F82" w14:paraId="315DEEEB" w14:textId="77777777" w:rsidTr="001B2D3E">
        <w:tc>
          <w:tcPr>
            <w:tcW w:w="1155" w:type="pct"/>
            <w:vAlign w:val="bottom"/>
          </w:tcPr>
          <w:p w14:paraId="7C31942C" w14:textId="3C21D293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Nstock</w:t>
            </w:r>
            <w:proofErr w:type="spellEnd"/>
          </w:p>
        </w:tc>
        <w:tc>
          <w:tcPr>
            <w:tcW w:w="758" w:type="pct"/>
            <w:vAlign w:val="bottom"/>
          </w:tcPr>
          <w:p w14:paraId="150E5153" w14:textId="7E1959B6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917" w:type="pct"/>
            <w:vAlign w:val="bottom"/>
          </w:tcPr>
          <w:p w14:paraId="6152A202" w14:textId="14B453C7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70" w:type="pct"/>
            <w:vAlign w:val="bottom"/>
          </w:tcPr>
          <w:p w14:paraId="3A1E2428" w14:textId="1ABAE1C8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Total N stock</w:t>
            </w:r>
          </w:p>
        </w:tc>
      </w:tr>
      <w:tr w:rsidR="001B2D3E" w:rsidRPr="00F84F82" w14:paraId="6727E770" w14:textId="77777777" w:rsidTr="001B2D3E">
        <w:tc>
          <w:tcPr>
            <w:tcW w:w="1155" w:type="pct"/>
            <w:vAlign w:val="bottom"/>
          </w:tcPr>
          <w:p w14:paraId="5F1E6BD2" w14:textId="25BDCED3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Place_No</w:t>
            </w:r>
            <w:proofErr w:type="spellEnd"/>
          </w:p>
        </w:tc>
        <w:tc>
          <w:tcPr>
            <w:tcW w:w="758" w:type="pct"/>
            <w:vAlign w:val="bottom"/>
          </w:tcPr>
          <w:p w14:paraId="2D1B3660" w14:textId="04D5DBC2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917" w:type="pct"/>
            <w:vAlign w:val="bottom"/>
          </w:tcPr>
          <w:p w14:paraId="0801C79C" w14:textId="3EEC350E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70" w:type="pct"/>
            <w:vAlign w:val="bottom"/>
          </w:tcPr>
          <w:p w14:paraId="47537121" w14:textId="7E79CD3F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Numbered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place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: 1 = Hua, 2 = </w:t>
            </w: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Caj</w:t>
            </w:r>
            <w:proofErr w:type="spellEnd"/>
          </w:p>
        </w:tc>
      </w:tr>
      <w:tr w:rsidR="001B2D3E" w:rsidRPr="00F84F82" w14:paraId="5C7794F3" w14:textId="77777777" w:rsidTr="001B2D3E">
        <w:tc>
          <w:tcPr>
            <w:tcW w:w="1155" w:type="pct"/>
            <w:vAlign w:val="bottom"/>
          </w:tcPr>
          <w:p w14:paraId="42781E8F" w14:textId="7487FFA2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Lithology_No</w:t>
            </w:r>
            <w:proofErr w:type="spellEnd"/>
          </w:p>
        </w:tc>
        <w:tc>
          <w:tcPr>
            <w:tcW w:w="758" w:type="pct"/>
            <w:vAlign w:val="bottom"/>
          </w:tcPr>
          <w:p w14:paraId="15391DAE" w14:textId="2605DA15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917" w:type="pct"/>
            <w:vAlign w:val="bottom"/>
          </w:tcPr>
          <w:p w14:paraId="4B346BDC" w14:textId="1CE078FE" w:rsidR="001B2D3E" w:rsidRPr="00FF5AA8" w:rsidRDefault="001B2D3E" w:rsidP="001B2D3E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70" w:type="pct"/>
            <w:vAlign w:val="bottom"/>
          </w:tcPr>
          <w:p w14:paraId="351AB3FC" w14:textId="72E40099" w:rsidR="001B2D3E" w:rsidRPr="00FF5AA8" w:rsidRDefault="001B2D3E" w:rsidP="001B2D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Numbered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lithlogy</w:t>
            </w:r>
            <w:proofErr w:type="spellEnd"/>
            <w:r w:rsidRPr="00FF5AA8">
              <w:rPr>
                <w:rFonts w:cs="Calibri"/>
                <w:color w:val="808080" w:themeColor="background1" w:themeShade="80"/>
                <w:sz w:val="18"/>
                <w:szCs w:val="18"/>
              </w:rPr>
              <w:t>: 1 = LS, 2 = AS</w:t>
            </w:r>
          </w:p>
        </w:tc>
      </w:tr>
    </w:tbl>
    <w:p w14:paraId="328E1FB4" w14:textId="2BB13EA6" w:rsidR="00995581" w:rsidRPr="00180DEB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  <w:lang w:val="en-US"/>
        </w:rPr>
      </w:pPr>
    </w:p>
    <w:p w14:paraId="49BD2385" w14:textId="4D7A7D7E" w:rsidR="00995581" w:rsidRPr="00AD2135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  <w:r w:rsidRPr="00AD2135">
        <w:rPr>
          <w:rFonts w:eastAsia="Calibri"/>
          <w:sz w:val="20"/>
          <w:szCs w:val="20"/>
        </w:rPr>
        <w:t>+ data type: integer, double precision, timestamp without time zone, geometry, etc...</w:t>
      </w:r>
    </w:p>
    <w:p w14:paraId="7B5038B0" w14:textId="4F9BB6F1" w:rsidR="00995581" w:rsidRPr="00AD2135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</w:p>
    <w:p w14:paraId="23C610E5" w14:textId="0082F6C4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B415AF3" w14:textId="554AFA63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208FA232" w14:textId="414E12FC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sectPr w:rsidR="006727C6" w:rsidSect="009F7A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304" w:bottom="1270" w:left="16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D05E" w14:textId="77777777" w:rsidR="00BE7D3D" w:rsidRDefault="00BE7D3D" w:rsidP="00786BC1">
      <w:pPr>
        <w:spacing w:line="240" w:lineRule="auto"/>
      </w:pPr>
      <w:r>
        <w:separator/>
      </w:r>
    </w:p>
  </w:endnote>
  <w:endnote w:type="continuationSeparator" w:id="0">
    <w:p w14:paraId="7088C8DA" w14:textId="77777777" w:rsidR="00BE7D3D" w:rsidRDefault="00BE7D3D" w:rsidP="0078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7305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060BB" w14:textId="151D4C51" w:rsidR="009A5C28" w:rsidRDefault="009A5C28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8757E" w14:textId="77777777" w:rsidR="009A5C28" w:rsidRDefault="009A5C28" w:rsidP="00A21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309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670A5" w14:textId="3AA86008" w:rsidR="009A5C28" w:rsidRDefault="009A5C28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0D7FA4" w14:textId="77777777" w:rsidR="009A5C28" w:rsidRDefault="009A5C28" w:rsidP="00A218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C6C3" w14:textId="1D6BDA47" w:rsidR="009A5C28" w:rsidRPr="006C2C79" w:rsidRDefault="009A5C28" w:rsidP="009F7A15">
    <w:pPr>
      <w:pStyle w:val="Footer"/>
      <w:spacing w:after="0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B635" w14:textId="77777777" w:rsidR="00BE7D3D" w:rsidRDefault="00BE7D3D" w:rsidP="00786BC1">
      <w:pPr>
        <w:spacing w:line="240" w:lineRule="auto"/>
      </w:pPr>
      <w:r>
        <w:separator/>
      </w:r>
    </w:p>
  </w:footnote>
  <w:footnote w:type="continuationSeparator" w:id="0">
    <w:p w14:paraId="3CF88ABC" w14:textId="77777777" w:rsidR="00BE7D3D" w:rsidRDefault="00BE7D3D" w:rsidP="0078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A821" w14:textId="77777777" w:rsidR="009A5C28" w:rsidRPr="00C955C1" w:rsidRDefault="009A5C28" w:rsidP="00687FE1">
    <w:pPr>
      <w:tabs>
        <w:tab w:val="center" w:pos="4536"/>
        <w:tab w:val="right" w:pos="9072"/>
      </w:tabs>
      <w:spacing w:line="240" w:lineRule="auto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>="en-US" "</w:instrText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C7940A8" wp14:editId="52B272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1" name="Picture 13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8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2D8DFC0" wp14:editId="750C9D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2" name="Picture 14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9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FFFF572" wp14:editId="197826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" name="Picture 15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5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>" "" \CIFLOCK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158A281" wp14:editId="305F0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4" name="Picture 16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6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6FD5E1C3" w14:textId="77777777" w:rsidR="009A5C28" w:rsidRPr="00C955C1" w:rsidRDefault="009A5C28" w:rsidP="0068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51FD" w14:textId="77777777" w:rsidR="009A5C28" w:rsidRPr="00C955C1" w:rsidRDefault="009A5C28" w:rsidP="00AF5A8C">
    <w:pPr>
      <w:pStyle w:val="Header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 xml:space="preserve"> ="en-US" "</w:instrText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91A1059" wp14:editId="07F1F5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5" name="Picture 17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2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8739B5F" wp14:editId="361C80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6" name="Picture 18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3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7E76B0AD" wp14:editId="2A64E5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7" name="Picture 19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8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 xml:space="preserve">" "" \CIFLOCK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7BB49FB4" wp14:editId="5B5FB7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8" name="Picture 20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9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00064489" w14:textId="77777777" w:rsidR="009A5C28" w:rsidRPr="00C955C1" w:rsidRDefault="009A5C28" w:rsidP="00AF5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9EB"/>
    <w:multiLevelType w:val="hybridMultilevel"/>
    <w:tmpl w:val="7DE8B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144"/>
    <w:multiLevelType w:val="hybridMultilevel"/>
    <w:tmpl w:val="4D9AA486"/>
    <w:lvl w:ilvl="0" w:tplc="AE9284A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C60"/>
    <w:multiLevelType w:val="hybridMultilevel"/>
    <w:tmpl w:val="F2A67648"/>
    <w:lvl w:ilvl="0" w:tplc="FD0201F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40"/>
    <w:multiLevelType w:val="hybridMultilevel"/>
    <w:tmpl w:val="E6C8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1379"/>
    <w:multiLevelType w:val="multilevel"/>
    <w:tmpl w:val="94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54E8D"/>
    <w:multiLevelType w:val="hybridMultilevel"/>
    <w:tmpl w:val="75D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B8A"/>
    <w:multiLevelType w:val="hybridMultilevel"/>
    <w:tmpl w:val="E6248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D4"/>
    <w:multiLevelType w:val="hybridMultilevel"/>
    <w:tmpl w:val="B900E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50EFF"/>
    <w:multiLevelType w:val="hybridMultilevel"/>
    <w:tmpl w:val="06CCFE34"/>
    <w:lvl w:ilvl="0" w:tplc="29028FC6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E0F"/>
    <w:multiLevelType w:val="hybridMultilevel"/>
    <w:tmpl w:val="4592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6E"/>
    <w:multiLevelType w:val="hybridMultilevel"/>
    <w:tmpl w:val="E508F250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9E5"/>
    <w:multiLevelType w:val="hybridMultilevel"/>
    <w:tmpl w:val="E8663954"/>
    <w:lvl w:ilvl="0" w:tplc="0CDA463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B"/>
    <w:multiLevelType w:val="hybridMultilevel"/>
    <w:tmpl w:val="1548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D7B"/>
    <w:multiLevelType w:val="hybridMultilevel"/>
    <w:tmpl w:val="48623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0B7A"/>
    <w:multiLevelType w:val="hybridMultilevel"/>
    <w:tmpl w:val="83783958"/>
    <w:lvl w:ilvl="0" w:tplc="D84EEBE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41F1"/>
    <w:multiLevelType w:val="hybridMultilevel"/>
    <w:tmpl w:val="A0464C20"/>
    <w:lvl w:ilvl="0" w:tplc="F10041BE">
      <w:start w:val="1"/>
      <w:numFmt w:val="bullet"/>
      <w:pStyle w:val="PossibleRespons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13128"/>
    <w:multiLevelType w:val="hybridMultilevel"/>
    <w:tmpl w:val="1472B078"/>
    <w:lvl w:ilvl="0" w:tplc="C182090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1076"/>
    <w:multiLevelType w:val="hybridMultilevel"/>
    <w:tmpl w:val="19EC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4FF"/>
    <w:multiLevelType w:val="hybridMultilevel"/>
    <w:tmpl w:val="7F2C4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7F1"/>
    <w:multiLevelType w:val="multilevel"/>
    <w:tmpl w:val="E85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B6ACD"/>
    <w:multiLevelType w:val="hybridMultilevel"/>
    <w:tmpl w:val="018464F4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F35"/>
    <w:multiLevelType w:val="hybridMultilevel"/>
    <w:tmpl w:val="E1369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F9C"/>
    <w:multiLevelType w:val="hybridMultilevel"/>
    <w:tmpl w:val="C58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66330"/>
    <w:multiLevelType w:val="hybridMultilevel"/>
    <w:tmpl w:val="C31205CE"/>
    <w:lvl w:ilvl="0" w:tplc="FC7E25A2">
      <w:start w:val="1"/>
      <w:numFmt w:val="bullet"/>
      <w:pStyle w:val="InlineGuidan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A2A89"/>
    <w:multiLevelType w:val="hybridMultilevel"/>
    <w:tmpl w:val="C684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580A"/>
    <w:multiLevelType w:val="hybridMultilevel"/>
    <w:tmpl w:val="1986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FA6"/>
    <w:multiLevelType w:val="hybridMultilevel"/>
    <w:tmpl w:val="BED2057E"/>
    <w:lvl w:ilvl="0" w:tplc="7C82ECB0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6E2D"/>
    <w:multiLevelType w:val="hybridMultilevel"/>
    <w:tmpl w:val="9696932E"/>
    <w:lvl w:ilvl="0" w:tplc="CC34A64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1F39"/>
    <w:multiLevelType w:val="hybridMultilevel"/>
    <w:tmpl w:val="A8149C3A"/>
    <w:lvl w:ilvl="0" w:tplc="8E8E7F9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0"/>
  </w:num>
  <w:num w:numId="5">
    <w:abstractNumId w:val="2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4"/>
  </w:num>
  <w:num w:numId="11">
    <w:abstractNumId w:val="13"/>
  </w:num>
  <w:num w:numId="12">
    <w:abstractNumId w:val="17"/>
  </w:num>
  <w:num w:numId="13">
    <w:abstractNumId w:val="21"/>
  </w:num>
  <w:num w:numId="14">
    <w:abstractNumId w:val="5"/>
  </w:num>
  <w:num w:numId="15">
    <w:abstractNumId w:val="25"/>
  </w:num>
  <w:num w:numId="16">
    <w:abstractNumId w:val="18"/>
  </w:num>
  <w:num w:numId="17">
    <w:abstractNumId w:val="12"/>
  </w:num>
  <w:num w:numId="18">
    <w:abstractNumId w:val="19"/>
  </w:num>
  <w:num w:numId="19">
    <w:abstractNumId w:val="27"/>
  </w:num>
  <w:num w:numId="20">
    <w:abstractNumId w:val="14"/>
  </w:num>
  <w:num w:numId="21">
    <w:abstractNumId w:val="11"/>
  </w:num>
  <w:num w:numId="22">
    <w:abstractNumId w:val="1"/>
  </w:num>
  <w:num w:numId="23">
    <w:abstractNumId w:val="8"/>
  </w:num>
  <w:num w:numId="24">
    <w:abstractNumId w:val="2"/>
  </w:num>
  <w:num w:numId="25">
    <w:abstractNumId w:val="16"/>
  </w:num>
  <w:num w:numId="26">
    <w:abstractNumId w:val="28"/>
  </w:num>
  <w:num w:numId="27">
    <w:abstractNumId w:val="10"/>
  </w:num>
  <w:num w:numId="28">
    <w:abstractNumId w:val="26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_DOCTYPE" w:val="report"/>
    <w:docVar w:name="CI_Language" w:val="nl-NL"/>
    <w:docVar w:name="CI_VERSION" w:val="11.0.8169"/>
    <w:docVar w:name="date" w:val="3-3-2011 14:36:54"/>
    <w:docVar w:name="editor" w:val="Ellen Stoop"/>
    <w:docVar w:name="field_absent" w:val="Afwezig"/>
    <w:docVar w:name="field_agenda_description" w:val="Maak een agenda"/>
    <w:docVar w:name="field_agenda_title" w:val="Agenda"/>
    <w:docVar w:name="field_application" w:val="Applicatie"/>
    <w:docVar w:name="field_approved" w:val="Vastgesteld"/>
    <w:docVar w:name="field_approved_by" w:val="Goedgekeurd door"/>
    <w:docVar w:name="field_approved_by_short" w:val="Goedgek. door"/>
    <w:docVar w:name="field_asagreed" w:val="Volgens afspraak/verzoek d.d."/>
    <w:docVar w:name="field_attachment" w:val="Bijlage"/>
    <w:docVar w:name="field_attachments" w:val="Bijlage(n):"/>
    <w:docVar w:name="field_attention" w:val="Ter attentie van"/>
    <w:docVar w:name="field_author_full" w:val="Auteur"/>
    <w:docVar w:name="field_cc" w:val="CC"/>
    <w:docVar w:name="field_city" w:val="Plaats"/>
    <w:docVar w:name="field_client" w:val="Opdrachtgever"/>
    <w:docVar w:name="field_colofon" w:val="Colofon"/>
    <w:docVar w:name="field_comments" w:val="Opmerkingen"/>
    <w:docVar w:name="field_concerning" w:val="Volgens bespreking op"/>
    <w:docVar w:name="field_concerns" w:val="Onderwerp"/>
    <w:docVar w:name="field_confidential" w:val="Vertrouwelijk"/>
    <w:docVar w:name="field_contact" w:val="Contactpersoon"/>
    <w:docVar w:name="field_copy" w:val="Kopie"/>
    <w:docVar w:name="field_copyright" w:val="Copyright"/>
    <w:docVar w:name="field_date" w:val="Datum"/>
    <w:docVar w:name="field_decree_title" w:val="Besluit"/>
    <w:docVar w:name="field_description" w:val="Description"/>
    <w:docVar w:name="field_directdial" w:val="Direct nummer"/>
    <w:docVar w:name="field_directdialareacode" w:val="Direct 020-"/>
    <w:docVar w:name="field_directfax" w:val="Directe fax"/>
    <w:docVar w:name="field_directfaxareacode" w:val="Directe fax 020-"/>
    <w:docVar w:name="field_distribution" w:val="Distributie"/>
    <w:docVar w:name="field_documentnumber" w:val="Documentnummer"/>
    <w:docVar w:name="field_documenttitle" w:val=" "/>
    <w:docVar w:name="field_editor" w:val="Opgemaakt door"/>
    <w:docVar w:name="field_email" w:val="E-mail"/>
    <w:docVar w:name="field_ending_greet" w:val="Met vriendelijke groet,"/>
    <w:docVar w:name="field_fax_disclaimer" w:val="Indien dit faxbericht niet correct is overgekomen, verzoeken wij u dit per ommegaande aan ons te melden."/>
    <w:docVar w:name="field_fax_option_1" w:val="Spoed"/>
    <w:docVar w:name="field_fax_option_1_short" w:val="Spoed"/>
    <w:docVar w:name="field_fax_option_2" w:val="Ter kennisgeving"/>
    <w:docVar w:name="field_fax_option_2_short" w:val="Kennisgeving"/>
    <w:docVar w:name="field_fax_option_3" w:val="Graag een antwoord"/>
    <w:docVar w:name="field_fax_option_3_short" w:val="Antwoord"/>
    <w:docVar w:name="field_fax_option_4" w:val="Circulaire"/>
    <w:docVar w:name="field_fax_option_4_short" w:val="Circulaire"/>
    <w:docVar w:name="field_fax_title" w:val="Faxbericht"/>
    <w:docVar w:name="field_faxnumber" w:val="Faxnummer"/>
    <w:docVar w:name="field_faxnumberareacode" w:val="Faxnr. 020-"/>
    <w:docVar w:name="field_forfurtheraction" w:val="Ter verdere afhandeling"/>
    <w:docVar w:name="field_from" w:val="Van"/>
    <w:docVar w:name="field_function" w:val="Functie"/>
    <w:docVar w:name="field_fyi" w:val="Ter kennisneming"/>
    <w:docVar w:name="field_handledby" w:val="Behandeld door"/>
    <w:docVar w:name="field_initiator" w:val="Initiator"/>
    <w:docVar w:name="field_location" w:val="Locatie"/>
    <w:docVar w:name="field_meeting" w:val="Bespreking"/>
    <w:docVar w:name="field_meetingdate" w:val="Vergaderdatum"/>
    <w:docVar w:name="field_memo_title" w:val="Memo"/>
    <w:docVar w:name="field_minutes_description" w:val="Maak een verslag"/>
    <w:docVar w:name="field_minutes_title" w:val="Verslag"/>
    <w:docVar w:name="field_name" w:val="Naam"/>
    <w:docVar w:name="field_number" w:val="Nummer"/>
    <w:docVar w:name="field_offer" w:val="Offerte"/>
    <w:docVar w:name="field_ourref" w:val="Ons kenmerk"/>
    <w:docVar w:name="field_ourreference" w:val="Ons kenmerk"/>
    <w:docVar w:name="field_page" w:val="Pagina"/>
    <w:docVar w:name="field_pages_incl" w:val="Pagina('s) incl. deze pagina"/>
    <w:docVar w:name="field_pages_short" w:val="# pagina's"/>
    <w:docVar w:name="field_period" w:val="Periode"/>
    <w:docVar w:name="field_phone" w:val="Telefoon"/>
    <w:docVar w:name="field_phone2" w:val="Telefoon 2"/>
    <w:docVar w:name="field_phoneareacode" w:val="Telefoon 020-"/>
    <w:docVar w:name="field_pleasecomment" w:val="Gaarne advies/commentaar"/>
    <w:docVar w:name="field_pleasecontact" w:val="Gaarne contact opnemen met"/>
    <w:docVar w:name="field_pleasereturn" w:val="Gaarne retour"/>
    <w:docVar w:name="field_pobox" w:val="Postbus"/>
    <w:docVar w:name="field_poboxnr" w:val="Postbusnr."/>
    <w:docVar w:name="field_present" w:val="Aanwezig"/>
    <w:docVar w:name="field_receivers" w:val="Ontvangers"/>
    <w:docVar w:name="field_related_documents" w:val="Gerelateerde documenten"/>
    <w:docVar w:name="field_report_disclaimer" w:val="Niets uit deze uitgave mag worden verveelvoudigd en/of openbaar gemaakt door middel van druk, fotokopie, microfilm of op welke andere wijze ook, zonder voorafgaande toestemming van CIBER Nederland BV."/>
    <w:docVar w:name="field_report_title" w:val="Rapport"/>
    <w:docVar w:name="field_reportnr" w:val="Verslagnummer"/>
    <w:docVar w:name="field_returnedwiththanks" w:val="Met dank retour"/>
    <w:docVar w:name="field_scribe" w:val="Notulist"/>
    <w:docVar w:name="field_short_description" w:val="Korte beschrijving"/>
    <w:docVar w:name="field_status" w:val="Status"/>
    <w:docVar w:name="field_subject" w:val="Onderwerp"/>
    <w:docVar w:name="field_subtitle" w:val="Subtitel"/>
    <w:docVar w:name="field_time" w:val="Tijd"/>
    <w:docVar w:name="field_title" w:val="Titel"/>
    <w:docVar w:name="field_to" w:val="Aan"/>
    <w:docVar w:name="field_toc" w:val="Inhoudsopgave"/>
    <w:docVar w:name="field_type" w:val="Type"/>
    <w:docVar w:name="field_typedocument" w:val="Type stuk"/>
    <w:docVar w:name="field_use_logo" w:val="Toon logo"/>
    <w:docVar w:name="field_version" w:val="Versie"/>
    <w:docVar w:name="field_versionnr" w:val="Versienummer"/>
    <w:docVar w:name="field_yourfax" w:val="Uw faxnummer"/>
    <w:docVar w:name="field_yourref" w:val="Uw kenmerk"/>
    <w:docVar w:name="field_yourreference" w:val="Uw kenmerk"/>
    <w:docVar w:name="ourref" w:val="Ons kenmerk"/>
    <w:docVar w:name="sender_address1" w:val="Spui 21"/>
    <w:docVar w:name="sender_address2" w:val="1012 WX Amsterdam"/>
    <w:docVar w:name="sender_address3" w:val="19268"/>
    <w:docVar w:name="sender_address4" w:val="1000 GG Amsterdam"/>
    <w:docVar w:name="sender_faxnumber" w:val="525 4963"/>
    <w:docVar w:name="sender_phone" w:val="525 2925"/>
    <w:docVar w:name="subunit" w:val="Interne en corporate communicatie"/>
    <w:docVar w:name="unit" w:val="bureau Communicatie"/>
    <w:docVar w:name="url" w:val="www.uva.nl"/>
    <w:docVar w:name="use_logo" w:val="1"/>
  </w:docVars>
  <w:rsids>
    <w:rsidRoot w:val="00C955C1"/>
    <w:rsid w:val="00006781"/>
    <w:rsid w:val="0000693B"/>
    <w:rsid w:val="00010282"/>
    <w:rsid w:val="000260A3"/>
    <w:rsid w:val="000377D9"/>
    <w:rsid w:val="00037C3C"/>
    <w:rsid w:val="00041ABE"/>
    <w:rsid w:val="00041FC1"/>
    <w:rsid w:val="000501D4"/>
    <w:rsid w:val="000565FB"/>
    <w:rsid w:val="00060167"/>
    <w:rsid w:val="00060B73"/>
    <w:rsid w:val="00065DFE"/>
    <w:rsid w:val="00074648"/>
    <w:rsid w:val="00080037"/>
    <w:rsid w:val="00086470"/>
    <w:rsid w:val="00090410"/>
    <w:rsid w:val="0009100E"/>
    <w:rsid w:val="00095D51"/>
    <w:rsid w:val="00095DFE"/>
    <w:rsid w:val="000A11F7"/>
    <w:rsid w:val="000A30FB"/>
    <w:rsid w:val="000C14C6"/>
    <w:rsid w:val="000C4166"/>
    <w:rsid w:val="000E2887"/>
    <w:rsid w:val="000E3E37"/>
    <w:rsid w:val="000F06D6"/>
    <w:rsid w:val="00103229"/>
    <w:rsid w:val="00107DED"/>
    <w:rsid w:val="001133E9"/>
    <w:rsid w:val="001147D6"/>
    <w:rsid w:val="00115FF3"/>
    <w:rsid w:val="001210C5"/>
    <w:rsid w:val="001271D6"/>
    <w:rsid w:val="00145F98"/>
    <w:rsid w:val="00150F11"/>
    <w:rsid w:val="00157AF5"/>
    <w:rsid w:val="00163BFD"/>
    <w:rsid w:val="00165EE7"/>
    <w:rsid w:val="00172ADA"/>
    <w:rsid w:val="00175908"/>
    <w:rsid w:val="00176DB1"/>
    <w:rsid w:val="00180DEB"/>
    <w:rsid w:val="00183D97"/>
    <w:rsid w:val="0018763A"/>
    <w:rsid w:val="001959EF"/>
    <w:rsid w:val="001A1FCB"/>
    <w:rsid w:val="001A40BD"/>
    <w:rsid w:val="001B2D3E"/>
    <w:rsid w:val="001C0E03"/>
    <w:rsid w:val="001C322C"/>
    <w:rsid w:val="001C7E00"/>
    <w:rsid w:val="001D6E32"/>
    <w:rsid w:val="001E2509"/>
    <w:rsid w:val="001E5748"/>
    <w:rsid w:val="001F1389"/>
    <w:rsid w:val="001F668C"/>
    <w:rsid w:val="001F7FCC"/>
    <w:rsid w:val="002075BB"/>
    <w:rsid w:val="00210454"/>
    <w:rsid w:val="00217925"/>
    <w:rsid w:val="002273B1"/>
    <w:rsid w:val="00231A62"/>
    <w:rsid w:val="00241A26"/>
    <w:rsid w:val="002442E5"/>
    <w:rsid w:val="00250B3C"/>
    <w:rsid w:val="0025443D"/>
    <w:rsid w:val="002553CD"/>
    <w:rsid w:val="00255CDD"/>
    <w:rsid w:val="00256162"/>
    <w:rsid w:val="00257672"/>
    <w:rsid w:val="00264406"/>
    <w:rsid w:val="00266BC9"/>
    <w:rsid w:val="00271EEB"/>
    <w:rsid w:val="00273A22"/>
    <w:rsid w:val="002768D6"/>
    <w:rsid w:val="00276D81"/>
    <w:rsid w:val="002774E8"/>
    <w:rsid w:val="00287FC7"/>
    <w:rsid w:val="00294247"/>
    <w:rsid w:val="00294ED1"/>
    <w:rsid w:val="0029642A"/>
    <w:rsid w:val="002A6819"/>
    <w:rsid w:val="002B2DA5"/>
    <w:rsid w:val="002B51B0"/>
    <w:rsid w:val="002B5BCF"/>
    <w:rsid w:val="002B6140"/>
    <w:rsid w:val="002C21A0"/>
    <w:rsid w:val="002C3331"/>
    <w:rsid w:val="002C4D98"/>
    <w:rsid w:val="002D111C"/>
    <w:rsid w:val="002D349E"/>
    <w:rsid w:val="002D470E"/>
    <w:rsid w:val="002D4A4F"/>
    <w:rsid w:val="002D4CC9"/>
    <w:rsid w:val="002D6A67"/>
    <w:rsid w:val="002E019E"/>
    <w:rsid w:val="002E471F"/>
    <w:rsid w:val="002E520A"/>
    <w:rsid w:val="002E5FF1"/>
    <w:rsid w:val="002F1690"/>
    <w:rsid w:val="002F18F6"/>
    <w:rsid w:val="0030328C"/>
    <w:rsid w:val="003048A5"/>
    <w:rsid w:val="0031592B"/>
    <w:rsid w:val="003210B9"/>
    <w:rsid w:val="00324D68"/>
    <w:rsid w:val="003251AF"/>
    <w:rsid w:val="003255AB"/>
    <w:rsid w:val="00332D11"/>
    <w:rsid w:val="00340F83"/>
    <w:rsid w:val="00342685"/>
    <w:rsid w:val="0034451D"/>
    <w:rsid w:val="003505D3"/>
    <w:rsid w:val="003603B9"/>
    <w:rsid w:val="00361D40"/>
    <w:rsid w:val="00375E0C"/>
    <w:rsid w:val="003851CF"/>
    <w:rsid w:val="003879C1"/>
    <w:rsid w:val="003A083D"/>
    <w:rsid w:val="003A7F25"/>
    <w:rsid w:val="003B216D"/>
    <w:rsid w:val="003B39C5"/>
    <w:rsid w:val="003C2DC5"/>
    <w:rsid w:val="003C416D"/>
    <w:rsid w:val="003C4A6C"/>
    <w:rsid w:val="003C660D"/>
    <w:rsid w:val="003C7CCF"/>
    <w:rsid w:val="003D0357"/>
    <w:rsid w:val="003D579B"/>
    <w:rsid w:val="003E6EBE"/>
    <w:rsid w:val="003E799C"/>
    <w:rsid w:val="003E7C99"/>
    <w:rsid w:val="003F214F"/>
    <w:rsid w:val="003F23C1"/>
    <w:rsid w:val="0040703F"/>
    <w:rsid w:val="0041485F"/>
    <w:rsid w:val="004208AF"/>
    <w:rsid w:val="00422203"/>
    <w:rsid w:val="00424E32"/>
    <w:rsid w:val="00427782"/>
    <w:rsid w:val="00430071"/>
    <w:rsid w:val="0043549C"/>
    <w:rsid w:val="00436F78"/>
    <w:rsid w:val="004508C2"/>
    <w:rsid w:val="00462802"/>
    <w:rsid w:val="00470951"/>
    <w:rsid w:val="00471C6D"/>
    <w:rsid w:val="004734F6"/>
    <w:rsid w:val="004A5006"/>
    <w:rsid w:val="004A5E04"/>
    <w:rsid w:val="004B1C8A"/>
    <w:rsid w:val="004B4621"/>
    <w:rsid w:val="004C1080"/>
    <w:rsid w:val="004C4AD6"/>
    <w:rsid w:val="004D6D7C"/>
    <w:rsid w:val="004D7D7E"/>
    <w:rsid w:val="004F425E"/>
    <w:rsid w:val="004F6854"/>
    <w:rsid w:val="004F6ADB"/>
    <w:rsid w:val="004F76D1"/>
    <w:rsid w:val="0050102C"/>
    <w:rsid w:val="00511B76"/>
    <w:rsid w:val="00512CC0"/>
    <w:rsid w:val="00515D86"/>
    <w:rsid w:val="00524D87"/>
    <w:rsid w:val="0053646A"/>
    <w:rsid w:val="0054405E"/>
    <w:rsid w:val="0054691D"/>
    <w:rsid w:val="0055160E"/>
    <w:rsid w:val="00554679"/>
    <w:rsid w:val="00561B7C"/>
    <w:rsid w:val="00564926"/>
    <w:rsid w:val="00565EB9"/>
    <w:rsid w:val="00567EC8"/>
    <w:rsid w:val="005713CF"/>
    <w:rsid w:val="00572C4D"/>
    <w:rsid w:val="00573CED"/>
    <w:rsid w:val="00577A08"/>
    <w:rsid w:val="00581872"/>
    <w:rsid w:val="00587C0C"/>
    <w:rsid w:val="00587F94"/>
    <w:rsid w:val="00590CB4"/>
    <w:rsid w:val="005B7409"/>
    <w:rsid w:val="005C047D"/>
    <w:rsid w:val="005C1E2D"/>
    <w:rsid w:val="005C1EA8"/>
    <w:rsid w:val="005D3F0B"/>
    <w:rsid w:val="005D5306"/>
    <w:rsid w:val="005E14C5"/>
    <w:rsid w:val="005E4AFF"/>
    <w:rsid w:val="005E60B3"/>
    <w:rsid w:val="005F3191"/>
    <w:rsid w:val="005F31AF"/>
    <w:rsid w:val="00603908"/>
    <w:rsid w:val="00605CB3"/>
    <w:rsid w:val="006230A2"/>
    <w:rsid w:val="00633BFC"/>
    <w:rsid w:val="0064607B"/>
    <w:rsid w:val="006513C3"/>
    <w:rsid w:val="00651DFE"/>
    <w:rsid w:val="00672256"/>
    <w:rsid w:val="006727C6"/>
    <w:rsid w:val="00673538"/>
    <w:rsid w:val="006752D9"/>
    <w:rsid w:val="00680F98"/>
    <w:rsid w:val="006848CB"/>
    <w:rsid w:val="00687FE1"/>
    <w:rsid w:val="00695A76"/>
    <w:rsid w:val="006A0800"/>
    <w:rsid w:val="006A6787"/>
    <w:rsid w:val="006B387B"/>
    <w:rsid w:val="006C1BED"/>
    <w:rsid w:val="006C1F96"/>
    <w:rsid w:val="006C2C79"/>
    <w:rsid w:val="006D4E7A"/>
    <w:rsid w:val="006D672A"/>
    <w:rsid w:val="006E31D7"/>
    <w:rsid w:val="006F56C4"/>
    <w:rsid w:val="006F579E"/>
    <w:rsid w:val="00701542"/>
    <w:rsid w:val="0071001D"/>
    <w:rsid w:val="007122E8"/>
    <w:rsid w:val="00714865"/>
    <w:rsid w:val="00714FE6"/>
    <w:rsid w:val="00716C6E"/>
    <w:rsid w:val="007218AC"/>
    <w:rsid w:val="0072617A"/>
    <w:rsid w:val="007340F7"/>
    <w:rsid w:val="00736B69"/>
    <w:rsid w:val="00740E47"/>
    <w:rsid w:val="00744821"/>
    <w:rsid w:val="0075693B"/>
    <w:rsid w:val="00756D36"/>
    <w:rsid w:val="007702CD"/>
    <w:rsid w:val="00785178"/>
    <w:rsid w:val="00786BC1"/>
    <w:rsid w:val="007875F2"/>
    <w:rsid w:val="007A24D3"/>
    <w:rsid w:val="007A5ECF"/>
    <w:rsid w:val="007A72D4"/>
    <w:rsid w:val="007C39AD"/>
    <w:rsid w:val="007C3B93"/>
    <w:rsid w:val="007C5735"/>
    <w:rsid w:val="007C7873"/>
    <w:rsid w:val="007D1B93"/>
    <w:rsid w:val="007D1D20"/>
    <w:rsid w:val="007E24EB"/>
    <w:rsid w:val="007F147C"/>
    <w:rsid w:val="007F26DE"/>
    <w:rsid w:val="007F44C6"/>
    <w:rsid w:val="007F75F8"/>
    <w:rsid w:val="00802A4C"/>
    <w:rsid w:val="008040C7"/>
    <w:rsid w:val="00810464"/>
    <w:rsid w:val="00816B97"/>
    <w:rsid w:val="0083580A"/>
    <w:rsid w:val="00850DAC"/>
    <w:rsid w:val="00853C87"/>
    <w:rsid w:val="00854A9E"/>
    <w:rsid w:val="00856365"/>
    <w:rsid w:val="00857B7C"/>
    <w:rsid w:val="00880D00"/>
    <w:rsid w:val="00883EEC"/>
    <w:rsid w:val="008840CF"/>
    <w:rsid w:val="008862DB"/>
    <w:rsid w:val="008864D6"/>
    <w:rsid w:val="0088730C"/>
    <w:rsid w:val="0089113B"/>
    <w:rsid w:val="00894456"/>
    <w:rsid w:val="00897010"/>
    <w:rsid w:val="008A6D05"/>
    <w:rsid w:val="008A6D48"/>
    <w:rsid w:val="008B119E"/>
    <w:rsid w:val="008B1EE7"/>
    <w:rsid w:val="008B46C9"/>
    <w:rsid w:val="008B538A"/>
    <w:rsid w:val="008C0156"/>
    <w:rsid w:val="008C41DB"/>
    <w:rsid w:val="008C42E8"/>
    <w:rsid w:val="008D2462"/>
    <w:rsid w:val="008D3AB5"/>
    <w:rsid w:val="008E50CF"/>
    <w:rsid w:val="008E5996"/>
    <w:rsid w:val="008F0A5A"/>
    <w:rsid w:val="008F25A3"/>
    <w:rsid w:val="008F4D69"/>
    <w:rsid w:val="00901BEB"/>
    <w:rsid w:val="009070FA"/>
    <w:rsid w:val="009108AE"/>
    <w:rsid w:val="00911560"/>
    <w:rsid w:val="00920CED"/>
    <w:rsid w:val="00927E99"/>
    <w:rsid w:val="0093760B"/>
    <w:rsid w:val="009404E7"/>
    <w:rsid w:val="00942F9E"/>
    <w:rsid w:val="00944C18"/>
    <w:rsid w:val="00945E7B"/>
    <w:rsid w:val="00946086"/>
    <w:rsid w:val="0095340B"/>
    <w:rsid w:val="009559C2"/>
    <w:rsid w:val="0096084E"/>
    <w:rsid w:val="0096475A"/>
    <w:rsid w:val="00972D5A"/>
    <w:rsid w:val="00972D7D"/>
    <w:rsid w:val="00975847"/>
    <w:rsid w:val="00980434"/>
    <w:rsid w:val="00982677"/>
    <w:rsid w:val="009878D0"/>
    <w:rsid w:val="00995581"/>
    <w:rsid w:val="0099793C"/>
    <w:rsid w:val="009A5C28"/>
    <w:rsid w:val="009B20F5"/>
    <w:rsid w:val="009B2640"/>
    <w:rsid w:val="009B4A4D"/>
    <w:rsid w:val="009C4D5C"/>
    <w:rsid w:val="009D12A0"/>
    <w:rsid w:val="009D1E73"/>
    <w:rsid w:val="009D22D7"/>
    <w:rsid w:val="009D4214"/>
    <w:rsid w:val="009D45A4"/>
    <w:rsid w:val="009D78F1"/>
    <w:rsid w:val="009E1ABB"/>
    <w:rsid w:val="009E507F"/>
    <w:rsid w:val="009E5AD1"/>
    <w:rsid w:val="009F031B"/>
    <w:rsid w:val="009F659A"/>
    <w:rsid w:val="009F7A15"/>
    <w:rsid w:val="00A02384"/>
    <w:rsid w:val="00A13669"/>
    <w:rsid w:val="00A1586F"/>
    <w:rsid w:val="00A2188B"/>
    <w:rsid w:val="00A21C47"/>
    <w:rsid w:val="00A273A5"/>
    <w:rsid w:val="00A27B61"/>
    <w:rsid w:val="00A31675"/>
    <w:rsid w:val="00A34001"/>
    <w:rsid w:val="00A41079"/>
    <w:rsid w:val="00A56CA9"/>
    <w:rsid w:val="00A70BE6"/>
    <w:rsid w:val="00A75804"/>
    <w:rsid w:val="00A868C6"/>
    <w:rsid w:val="00A92988"/>
    <w:rsid w:val="00A93511"/>
    <w:rsid w:val="00A9727C"/>
    <w:rsid w:val="00AB0A57"/>
    <w:rsid w:val="00AB16AC"/>
    <w:rsid w:val="00AB24EB"/>
    <w:rsid w:val="00AB391A"/>
    <w:rsid w:val="00AB3EA2"/>
    <w:rsid w:val="00AB71D4"/>
    <w:rsid w:val="00AD2135"/>
    <w:rsid w:val="00AD22A9"/>
    <w:rsid w:val="00AD508A"/>
    <w:rsid w:val="00AD52C3"/>
    <w:rsid w:val="00AD7025"/>
    <w:rsid w:val="00AE0F59"/>
    <w:rsid w:val="00AE5696"/>
    <w:rsid w:val="00AE56F1"/>
    <w:rsid w:val="00AF0634"/>
    <w:rsid w:val="00AF1782"/>
    <w:rsid w:val="00AF5A8C"/>
    <w:rsid w:val="00B00A48"/>
    <w:rsid w:val="00B014A2"/>
    <w:rsid w:val="00B05BDB"/>
    <w:rsid w:val="00B06087"/>
    <w:rsid w:val="00B103D9"/>
    <w:rsid w:val="00B26739"/>
    <w:rsid w:val="00B2697D"/>
    <w:rsid w:val="00B26E8F"/>
    <w:rsid w:val="00B3543D"/>
    <w:rsid w:val="00B41C87"/>
    <w:rsid w:val="00B61A14"/>
    <w:rsid w:val="00B62991"/>
    <w:rsid w:val="00B679FD"/>
    <w:rsid w:val="00B73E32"/>
    <w:rsid w:val="00B818C0"/>
    <w:rsid w:val="00B858E4"/>
    <w:rsid w:val="00B915F7"/>
    <w:rsid w:val="00B96A47"/>
    <w:rsid w:val="00BA40E6"/>
    <w:rsid w:val="00BA79DF"/>
    <w:rsid w:val="00BB251B"/>
    <w:rsid w:val="00BC0EA0"/>
    <w:rsid w:val="00BC2D31"/>
    <w:rsid w:val="00BC3495"/>
    <w:rsid w:val="00BC36D7"/>
    <w:rsid w:val="00BC4B5C"/>
    <w:rsid w:val="00BD4506"/>
    <w:rsid w:val="00BD472B"/>
    <w:rsid w:val="00BE0C70"/>
    <w:rsid w:val="00BE3687"/>
    <w:rsid w:val="00BE4708"/>
    <w:rsid w:val="00BE5605"/>
    <w:rsid w:val="00BE7071"/>
    <w:rsid w:val="00BE7D3D"/>
    <w:rsid w:val="00BF24AE"/>
    <w:rsid w:val="00C2076B"/>
    <w:rsid w:val="00C215F6"/>
    <w:rsid w:val="00C36EB9"/>
    <w:rsid w:val="00C45D64"/>
    <w:rsid w:val="00C50B6B"/>
    <w:rsid w:val="00C532FF"/>
    <w:rsid w:val="00C53899"/>
    <w:rsid w:val="00C53C4A"/>
    <w:rsid w:val="00C567A1"/>
    <w:rsid w:val="00C57684"/>
    <w:rsid w:val="00C61662"/>
    <w:rsid w:val="00C61D68"/>
    <w:rsid w:val="00C8591E"/>
    <w:rsid w:val="00C91C7D"/>
    <w:rsid w:val="00C92A20"/>
    <w:rsid w:val="00C955C1"/>
    <w:rsid w:val="00C95E31"/>
    <w:rsid w:val="00CA1FC4"/>
    <w:rsid w:val="00CA3C05"/>
    <w:rsid w:val="00CA7B40"/>
    <w:rsid w:val="00CC53B8"/>
    <w:rsid w:val="00CC58F8"/>
    <w:rsid w:val="00CC79C0"/>
    <w:rsid w:val="00CD6C34"/>
    <w:rsid w:val="00CD6DCC"/>
    <w:rsid w:val="00CF5005"/>
    <w:rsid w:val="00CF57CC"/>
    <w:rsid w:val="00D01763"/>
    <w:rsid w:val="00D12533"/>
    <w:rsid w:val="00D1508E"/>
    <w:rsid w:val="00D15BF8"/>
    <w:rsid w:val="00D16124"/>
    <w:rsid w:val="00D173BD"/>
    <w:rsid w:val="00D2487B"/>
    <w:rsid w:val="00D26C6D"/>
    <w:rsid w:val="00D412D7"/>
    <w:rsid w:val="00D476D8"/>
    <w:rsid w:val="00D50261"/>
    <w:rsid w:val="00D50AEB"/>
    <w:rsid w:val="00D50B44"/>
    <w:rsid w:val="00D5116F"/>
    <w:rsid w:val="00D52A13"/>
    <w:rsid w:val="00D52B91"/>
    <w:rsid w:val="00D53B0C"/>
    <w:rsid w:val="00D6450F"/>
    <w:rsid w:val="00D70C6C"/>
    <w:rsid w:val="00D7598D"/>
    <w:rsid w:val="00D77D6F"/>
    <w:rsid w:val="00D84E07"/>
    <w:rsid w:val="00D97586"/>
    <w:rsid w:val="00DA1938"/>
    <w:rsid w:val="00DB519B"/>
    <w:rsid w:val="00DB770A"/>
    <w:rsid w:val="00DC046C"/>
    <w:rsid w:val="00DC7845"/>
    <w:rsid w:val="00DD01BF"/>
    <w:rsid w:val="00DD39F8"/>
    <w:rsid w:val="00DD64D7"/>
    <w:rsid w:val="00DD6537"/>
    <w:rsid w:val="00DE6902"/>
    <w:rsid w:val="00DF398A"/>
    <w:rsid w:val="00E04B9F"/>
    <w:rsid w:val="00E10EE6"/>
    <w:rsid w:val="00E11937"/>
    <w:rsid w:val="00E15F11"/>
    <w:rsid w:val="00E20FDC"/>
    <w:rsid w:val="00E22A6E"/>
    <w:rsid w:val="00E23C0A"/>
    <w:rsid w:val="00E24B0C"/>
    <w:rsid w:val="00E5258E"/>
    <w:rsid w:val="00E63DA0"/>
    <w:rsid w:val="00E66BCF"/>
    <w:rsid w:val="00E673AD"/>
    <w:rsid w:val="00E67B4A"/>
    <w:rsid w:val="00E72E2C"/>
    <w:rsid w:val="00E8348B"/>
    <w:rsid w:val="00E8652B"/>
    <w:rsid w:val="00EA3002"/>
    <w:rsid w:val="00EA306A"/>
    <w:rsid w:val="00EB0C17"/>
    <w:rsid w:val="00EB2400"/>
    <w:rsid w:val="00EB33F2"/>
    <w:rsid w:val="00EC6CD4"/>
    <w:rsid w:val="00EC7805"/>
    <w:rsid w:val="00ED0DB6"/>
    <w:rsid w:val="00ED5384"/>
    <w:rsid w:val="00ED54CC"/>
    <w:rsid w:val="00EE3A54"/>
    <w:rsid w:val="00EE474F"/>
    <w:rsid w:val="00EE6649"/>
    <w:rsid w:val="00EE74BC"/>
    <w:rsid w:val="00EE7718"/>
    <w:rsid w:val="00EE78B0"/>
    <w:rsid w:val="00EF2F90"/>
    <w:rsid w:val="00EF4256"/>
    <w:rsid w:val="00EF4C46"/>
    <w:rsid w:val="00F168A1"/>
    <w:rsid w:val="00F200C2"/>
    <w:rsid w:val="00F23BB9"/>
    <w:rsid w:val="00F26B42"/>
    <w:rsid w:val="00F271BA"/>
    <w:rsid w:val="00F3732D"/>
    <w:rsid w:val="00F52DEA"/>
    <w:rsid w:val="00F548DB"/>
    <w:rsid w:val="00F618BC"/>
    <w:rsid w:val="00F64103"/>
    <w:rsid w:val="00F66790"/>
    <w:rsid w:val="00F66941"/>
    <w:rsid w:val="00F66FFE"/>
    <w:rsid w:val="00F7328E"/>
    <w:rsid w:val="00F73383"/>
    <w:rsid w:val="00F84F82"/>
    <w:rsid w:val="00F8600F"/>
    <w:rsid w:val="00F9402E"/>
    <w:rsid w:val="00FA24AF"/>
    <w:rsid w:val="00FB1534"/>
    <w:rsid w:val="00FB3173"/>
    <w:rsid w:val="00FB4661"/>
    <w:rsid w:val="00FB6641"/>
    <w:rsid w:val="00FC64ED"/>
    <w:rsid w:val="00FE0622"/>
    <w:rsid w:val="00FF0E57"/>
    <w:rsid w:val="00FF5AA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565F0"/>
  <w15:docId w15:val="{A859CC48-03DA-324B-B46A-0172A12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C6"/>
    <w:pPr>
      <w:spacing w:after="200" w:line="276" w:lineRule="auto"/>
    </w:pPr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qFormat/>
    <w:rsid w:val="00095DFE"/>
    <w:pPr>
      <w:spacing w:before="255" w:after="255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1C8A"/>
    <w:pPr>
      <w:spacing w:after="255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5DFE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095DFE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95DFE"/>
    <w:pPr>
      <w:spacing w:before="240" w:after="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C1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Normal"/>
    <w:qFormat/>
    <w:rsid w:val="00C57684"/>
    <w:pPr>
      <w:spacing w:line="255" w:lineRule="atLeast"/>
    </w:pPr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Normal"/>
    <w:qFormat/>
    <w:rsid w:val="00786BC1"/>
    <w:pPr>
      <w:spacing w:line="255" w:lineRule="atLeast"/>
    </w:pPr>
    <w:rPr>
      <w:rFonts w:ascii="Arial" w:hAnsi="Arial"/>
      <w:spacing w:val="-4"/>
      <w:sz w:val="20"/>
    </w:rPr>
  </w:style>
  <w:style w:type="table" w:styleId="TableGrid">
    <w:name w:val="Table Grid"/>
    <w:basedOn w:val="TableNormal"/>
    <w:uiPriority w:val="59"/>
    <w:rsid w:val="00786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eling">
    <w:name w:val="Afdeling"/>
    <w:basedOn w:val="Subonderdeeluniversiteit"/>
    <w:qFormat/>
    <w:rsid w:val="00D50B44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Normal"/>
    <w:qFormat/>
    <w:rsid w:val="00786BC1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qFormat/>
    <w:rsid w:val="00D84E07"/>
    <w:rPr>
      <w:rFonts w:ascii="Times New Roman" w:hAnsi="Times New Roman"/>
      <w:sz w:val="22"/>
    </w:rPr>
  </w:style>
  <w:style w:type="paragraph" w:customStyle="1" w:styleId="Documentname">
    <w:name w:val="Document name"/>
    <w:basedOn w:val="Normal"/>
    <w:rsid w:val="00D70C6C"/>
    <w:rPr>
      <w:sz w:val="38"/>
    </w:rPr>
  </w:style>
  <w:style w:type="paragraph" w:styleId="Title">
    <w:name w:val="Title"/>
    <w:basedOn w:val="Documentname"/>
    <w:qFormat/>
    <w:rsid w:val="00B818C0"/>
    <w:pPr>
      <w:spacing w:line="510" w:lineRule="atLeast"/>
    </w:pPr>
  </w:style>
  <w:style w:type="paragraph" w:styleId="Subtitle">
    <w:name w:val="Subtitle"/>
    <w:basedOn w:val="Referentiegegevenskopjes"/>
    <w:qFormat/>
    <w:rsid w:val="004B1C8A"/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autoRedefine/>
    <w:semiHidden/>
    <w:rsid w:val="002D4CC9"/>
  </w:style>
  <w:style w:type="paragraph" w:customStyle="1" w:styleId="Volgvelreferentiegegevens">
    <w:name w:val="Volgvel referentiegegevens"/>
    <w:basedOn w:val="Referentiegegevens"/>
    <w:link w:val="VolgvelreferentiegegevensChar"/>
    <w:rsid w:val="00010282"/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010282"/>
    <w:pPr>
      <w:spacing w:before="320"/>
    </w:pPr>
  </w:style>
  <w:style w:type="paragraph" w:customStyle="1" w:styleId="Heading1notinTOC">
    <w:name w:val="Heading 1 not in TOC"/>
    <w:basedOn w:val="Normal"/>
    <w:rsid w:val="007340F7"/>
    <w:pPr>
      <w:spacing w:after="255"/>
    </w:pPr>
    <w:rPr>
      <w:b/>
    </w:rPr>
  </w:style>
  <w:style w:type="character" w:customStyle="1" w:styleId="VolgvelreferentiegegevensChar">
    <w:name w:val="Volgvel referentiegegevens Char"/>
    <w:basedOn w:val="DefaultParagraphFont"/>
    <w:link w:val="Volgvelreferentiegegevens"/>
    <w:rsid w:val="00687FE1"/>
    <w:rPr>
      <w:rFonts w:eastAsia="Calibri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DefaultParagraphFont"/>
    <w:link w:val="Volgvelreferentiegegevenskopje"/>
    <w:rsid w:val="00687FE1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00A48"/>
    <w:pPr>
      <w:ind w:left="720"/>
      <w:contextualSpacing/>
    </w:pPr>
  </w:style>
  <w:style w:type="table" w:customStyle="1" w:styleId="Gemiddeldearcering1-accent11">
    <w:name w:val="Gemiddelde arcering 1 - accent 11"/>
    <w:basedOn w:val="TableNormal"/>
    <w:uiPriority w:val="63"/>
    <w:rsid w:val="00F548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raster-accent11">
    <w:name w:val="Licht raster - accent 11"/>
    <w:basedOn w:val="TableNormal"/>
    <w:uiPriority w:val="62"/>
    <w:rsid w:val="009E1A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D6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D6"/>
    <w:rPr>
      <w:rFonts w:eastAsia="SimSu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68C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4C5"/>
    <w:rPr>
      <w:color w:val="808080"/>
    </w:rPr>
  </w:style>
  <w:style w:type="paragraph" w:customStyle="1" w:styleId="PossibleResponse">
    <w:name w:val="Possible Response"/>
    <w:basedOn w:val="ListParagraph"/>
    <w:link w:val="PossibleResponseChar"/>
    <w:qFormat/>
    <w:rsid w:val="00CC58F8"/>
    <w:pPr>
      <w:numPr>
        <w:numId w:val="1"/>
      </w:numPr>
      <w:spacing w:after="0" w:line="240" w:lineRule="auto"/>
    </w:pPr>
    <w:rPr>
      <w:rFonts w:asciiTheme="minorHAnsi" w:eastAsiaTheme="minorEastAsia" w:hAnsiTheme="minorHAnsi" w:cstheme="minorBidi"/>
      <w:lang w:val="en-GB" w:eastAsia="en-US"/>
    </w:rPr>
  </w:style>
  <w:style w:type="paragraph" w:customStyle="1" w:styleId="InlineGuidance">
    <w:name w:val="Inline Guidance"/>
    <w:basedOn w:val="PossibleResponse"/>
    <w:link w:val="InlineGuidanceChar"/>
    <w:qFormat/>
    <w:rsid w:val="00CC58F8"/>
    <w:pPr>
      <w:numPr>
        <w:numId w:val="2"/>
      </w:numPr>
    </w:pPr>
    <w:rPr>
      <w:i/>
    </w:rPr>
  </w:style>
  <w:style w:type="character" w:customStyle="1" w:styleId="PossibleResponseChar">
    <w:name w:val="Possible Response Char"/>
    <w:basedOn w:val="DefaultParagraphFont"/>
    <w:link w:val="PossibleResponse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InlineGuidanceChar">
    <w:name w:val="Inline Guidance Char"/>
    <w:basedOn w:val="PossibleResponseChar"/>
    <w:link w:val="InlineGuidance"/>
    <w:rsid w:val="00CC58F8"/>
    <w:rPr>
      <w:rFonts w:asciiTheme="minorHAnsi" w:eastAsiaTheme="minorEastAsia" w:hAnsiTheme="minorHAnsi" w:cstheme="minorBidi"/>
      <w:i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8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8F8"/>
    <w:rPr>
      <w:rFonts w:asciiTheme="minorHAnsi" w:eastAsiaTheme="minorEastAsia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58F8"/>
    <w:rPr>
      <w:vertAlign w:val="superscript"/>
    </w:rPr>
  </w:style>
  <w:style w:type="table" w:customStyle="1" w:styleId="Tabelraster1">
    <w:name w:val="Tabelraster1"/>
    <w:basedOn w:val="TableNormal"/>
    <w:next w:val="TableGrid"/>
    <w:uiPriority w:val="59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C58F8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C58F8"/>
    <w:rPr>
      <w:rFonts w:eastAsia="SimSun"/>
      <w:sz w:val="22"/>
      <w:szCs w:val="22"/>
    </w:rPr>
  </w:style>
  <w:style w:type="table" w:customStyle="1" w:styleId="Onopgemaaktetabel51">
    <w:name w:val="Onopgemaakte tabel 51"/>
    <w:basedOn w:val="TableNormal"/>
    <w:uiPriority w:val="45"/>
    <w:rsid w:val="00FB4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guidanceheader">
    <w:name w:val="guidance_header"/>
    <w:basedOn w:val="Normal"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0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0C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080"/>
    <w:rPr>
      <w:rFonts w:ascii="Courier New" w:eastAsia="Times New Roman" w:hAnsi="Courier New" w:cs="Courier New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lores%20Automatisering\Corporate%20Identity%20Framework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E27A-F659-4EB1-BB05-4474DD4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12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UvA Data Management Plan template</vt:lpstr>
      <vt:lpstr>UvA Data Management Plan template</vt:lpstr>
    </vt:vector>
  </TitlesOfParts>
  <Company>Universiteit van Amsterdam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Data Management Plan template</dc:title>
  <dc:creator>Selm, Mariëtte van</dc:creator>
  <cp:keywords>RDM</cp:keywords>
  <cp:lastModifiedBy>Yang, Songyu</cp:lastModifiedBy>
  <cp:revision>5</cp:revision>
  <cp:lastPrinted>2019-07-25T15:25:00Z</cp:lastPrinted>
  <dcterms:created xsi:type="dcterms:W3CDTF">2020-01-17T16:49:00Z</dcterms:created>
  <dcterms:modified xsi:type="dcterms:W3CDTF">2020-01-20T14:13:00Z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_division">
    <vt:lpwstr/>
  </property>
  <property fmtid="{D5CDD505-2E9C-101B-9397-08002B2CF9AE}" pid="3" name="sender_address1">
    <vt:lpwstr>Spui 21</vt:lpwstr>
  </property>
  <property fmtid="{D5CDD505-2E9C-101B-9397-08002B2CF9AE}" pid="4" name="sender_address2">
    <vt:lpwstr>1012 WX Amsterdam</vt:lpwstr>
  </property>
  <property fmtid="{D5CDD505-2E9C-101B-9397-08002B2CF9AE}" pid="5" name="sender_address3">
    <vt:lpwstr>19268</vt:lpwstr>
  </property>
  <property fmtid="{D5CDD505-2E9C-101B-9397-08002B2CF9AE}" pid="6" name="sender_address4">
    <vt:lpwstr>1000 GG Amsterdam</vt:lpwstr>
  </property>
  <property fmtid="{D5CDD505-2E9C-101B-9397-08002B2CF9AE}" pid="7" name="date">
    <vt:lpwstr>3-3-2011 14:36:54</vt:lpwstr>
  </property>
  <property fmtid="{D5CDD505-2E9C-101B-9397-08002B2CF9AE}" pid="8" name="sender_fullname">
    <vt:lpwstr> </vt:lpwstr>
  </property>
  <property fmtid="{D5CDD505-2E9C-101B-9397-08002B2CF9AE}" pid="9" name="unit">
    <vt:lpwstr>bureau Communicatie</vt:lpwstr>
  </property>
  <property fmtid="{D5CDD505-2E9C-101B-9397-08002B2CF9AE}" pid="10" name="subunit">
    <vt:lpwstr>Interne en corporate communicatie</vt:lpwstr>
  </property>
  <property fmtid="{D5CDD505-2E9C-101B-9397-08002B2CF9AE}" pid="11" name="valediction">
    <vt:lpwstr> </vt:lpwstr>
  </property>
  <property fmtid="{D5CDD505-2E9C-101B-9397-08002B2CF9AE}" pid="12" name="signingname">
    <vt:lpwstr> </vt:lpwstr>
  </property>
  <property fmtid="{D5CDD505-2E9C-101B-9397-08002B2CF9AE}" pid="13" name="address">
    <vt:lpwstr> </vt:lpwstr>
  </property>
  <property fmtid="{D5CDD505-2E9C-101B-9397-08002B2CF9AE}" pid="14" name="titleetc">
    <vt:lpwstr> </vt:lpwstr>
  </property>
  <property fmtid="{D5CDD505-2E9C-101B-9397-08002B2CF9AE}" pid="15" name="firstname">
    <vt:lpwstr> </vt:lpwstr>
  </property>
  <property fmtid="{D5CDD505-2E9C-101B-9397-08002B2CF9AE}" pid="16" name="lastname">
    <vt:lpwstr> </vt:lpwstr>
  </property>
  <property fmtid="{D5CDD505-2E9C-101B-9397-08002B2CF9AE}" pid="17" name="sender_fax">
    <vt:lpwstr> </vt:lpwstr>
  </property>
  <property fmtid="{D5CDD505-2E9C-101B-9397-08002B2CF9AE}" pid="18" name="pages">
    <vt:lpwstr> </vt:lpwstr>
  </property>
  <property fmtid="{D5CDD505-2E9C-101B-9397-08002B2CF9AE}" pid="19" name="faxnumber">
    <vt:lpwstr> </vt:lpwstr>
  </property>
  <property fmtid="{D5CDD505-2E9C-101B-9397-08002B2CF9AE}" pid="20" name="to">
    <vt:lpwstr> </vt:lpwstr>
  </property>
  <property fmtid="{D5CDD505-2E9C-101B-9397-08002B2CF9AE}" pid="21" name="subtitle">
    <vt:lpwstr/>
  </property>
  <property fmtid="{D5CDD505-2E9C-101B-9397-08002B2CF9AE}" pid="22" name="editor">
    <vt:lpwstr>Ellen Stoop</vt:lpwstr>
  </property>
  <property fmtid="{D5CDD505-2E9C-101B-9397-08002B2CF9AE}" pid="23" name="subject">
    <vt:lpwstr> </vt:lpwstr>
  </property>
  <property fmtid="{D5CDD505-2E9C-101B-9397-08002B2CF9AE}" pid="24" name="reporttitle">
    <vt:lpwstr/>
  </property>
  <property fmtid="{D5CDD505-2E9C-101B-9397-08002B2CF9AE}" pid="25" name="sender_faxnumber">
    <vt:lpwstr>525 4963</vt:lpwstr>
  </property>
  <property fmtid="{D5CDD505-2E9C-101B-9397-08002B2CF9AE}" pid="26" name="sender_phone">
    <vt:lpwstr>525 2925</vt:lpwstr>
  </property>
  <property fmtid="{D5CDD505-2E9C-101B-9397-08002B2CF9AE}" pid="27" name="url">
    <vt:lpwstr>www.uva.nl</vt:lpwstr>
  </property>
  <property fmtid="{D5CDD505-2E9C-101B-9397-08002B2CF9AE}" pid="28" name="concerns">
    <vt:lpwstr> </vt:lpwstr>
  </property>
</Properties>
</file>