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6BEEB" w14:textId="1E8C6DD0" w:rsidR="00AC62E7" w:rsidRDefault="00A94527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</w:pPr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 xml:space="preserve">RDM </w:t>
      </w:r>
      <w:r w:rsidR="00AC7C85" w:rsidRPr="004C0C7E"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 xml:space="preserve">Protocol - </w:t>
      </w:r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>Molecular Photonics</w:t>
      </w:r>
      <w:r w:rsidR="00AC62E7"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ab/>
      </w:r>
      <w:r w:rsidR="00AC62E7"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ab/>
      </w:r>
      <w:r w:rsidR="00F13820"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>1 December 2023</w:t>
      </w:r>
    </w:p>
    <w:p w14:paraId="1F11B7C7" w14:textId="2649648D" w:rsidR="00AC62E7" w:rsidRPr="004C0C7E" w:rsidRDefault="00AC62E7" w:rsidP="00AC62E7">
      <w:pPr>
        <w:autoSpaceDE w:val="0"/>
        <w:autoSpaceDN w:val="0"/>
        <w:adjustRightInd w:val="0"/>
        <w:jc w:val="right"/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</w:pPr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 xml:space="preserve">Asst. </w:t>
      </w:r>
      <w:proofErr w:type="spellStart"/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>Prof.</w:t>
      </w:r>
      <w:bookmarkStart w:id="0" w:name="_GoBack"/>
      <w:bookmarkEnd w:id="0"/>
      <w:proofErr w:type="spellEnd"/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>Dr.</w:t>
      </w:r>
      <w:proofErr w:type="spellEnd"/>
      <w:r>
        <w:rPr>
          <w:rFonts w:asciiTheme="majorHAnsi" w:hAnsiTheme="majorHAnsi" w:cstheme="majorHAnsi"/>
          <w:b/>
          <w:bCs/>
          <w:kern w:val="0"/>
          <w:sz w:val="32"/>
          <w:szCs w:val="32"/>
          <w:lang w:val="en-GB"/>
        </w:rPr>
        <w:t xml:space="preserve"> R.M Williams</w:t>
      </w:r>
    </w:p>
    <w:p w14:paraId="0249C885" w14:textId="77777777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9248448" w14:textId="1F120806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This protocol guides researchers in managing research data</w:t>
      </w:r>
      <w:r w:rsidR="0005245B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ensuring data is FAIR (Findable, Accessible, Interoperable, Reusable).</w:t>
      </w:r>
    </w:p>
    <w:p w14:paraId="1571D0C3" w14:textId="55F01E40" w:rsidR="00F716D7" w:rsidRPr="00F716D7" w:rsidRDefault="00F716D7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kern w:val="0"/>
          <w:sz w:val="22"/>
          <w:szCs w:val="22"/>
          <w:lang w:val="en-GB"/>
        </w:rPr>
      </w:pPr>
      <w:r w:rsidRPr="00F716D7">
        <w:rPr>
          <w:rFonts w:asciiTheme="majorHAnsi" w:hAnsiTheme="majorHAnsi" w:cstheme="majorHAnsi"/>
          <w:b/>
          <w:kern w:val="0"/>
          <w:sz w:val="22"/>
          <w:szCs w:val="22"/>
          <w:lang w:val="en-GB"/>
        </w:rPr>
        <w:t xml:space="preserve">For </w:t>
      </w:r>
      <w:r w:rsidRPr="00F716D7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Information for BSc, MSc, PhD students and postdocs</w:t>
      </w:r>
      <w:r w:rsidRPr="00F716D7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, see last page.</w:t>
      </w:r>
    </w:p>
    <w:p w14:paraId="11CA9E35" w14:textId="47334884" w:rsidR="00F716D7" w:rsidRPr="00AC7C85" w:rsidRDefault="00F716D7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48F38D5B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4282B5AC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1. Pre-Project Planning</w:t>
      </w:r>
    </w:p>
    <w:p w14:paraId="2B806A9E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886EEC9" w14:textId="4C077BAD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Data Management Roles</w:t>
      </w:r>
    </w:p>
    <w:p w14:paraId="6B83887B" w14:textId="09382DE3" w:rsidR="00AC7C85" w:rsidRPr="00AC7C85" w:rsidRDefault="004928AE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Permanent staff members (PI) guide the post-docs, PhD students and BSc or MSc student</w:t>
      </w:r>
      <w:r w:rsidR="007E2667"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to do proper RDM</w:t>
      </w:r>
      <w:r w:rsidR="0005245B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when 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>appropriate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PI’s have the final responsibility that proper RDM is applied.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</w:p>
    <w:p w14:paraId="6E326114" w14:textId="6C7855ED" w:rsidR="004928AE" w:rsidRDefault="004928AE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If funding requires, th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>e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n the rules of the funder apply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, as specified in Data Management Plan of 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the 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>proposal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In principle all project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that lead to scientific publications or </w:t>
      </w:r>
      <w:r w:rsidR="007E2667">
        <w:rPr>
          <w:rFonts w:asciiTheme="majorHAnsi" w:hAnsiTheme="majorHAnsi" w:cstheme="majorHAnsi"/>
          <w:kern w:val="0"/>
          <w:sz w:val="22"/>
          <w:szCs w:val="22"/>
          <w:lang w:val="en-GB"/>
        </w:rPr>
        <w:t>(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PhD</w:t>
      </w:r>
      <w:r w:rsidR="007E2667">
        <w:rPr>
          <w:rFonts w:asciiTheme="majorHAnsi" w:hAnsiTheme="majorHAnsi" w:cstheme="majorHAnsi"/>
          <w:kern w:val="0"/>
          <w:sz w:val="22"/>
          <w:szCs w:val="22"/>
          <w:lang w:val="en-GB"/>
        </w:rPr>
        <w:t>)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thesis need RDM, build around these research outputs (manuscript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, 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>T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hesis</w:t>
      </w:r>
      <w:r w:rsidR="00AC62E7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Chapters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). For MSc and BSc project it is decided by the PI, timely before project end.</w:t>
      </w:r>
    </w:p>
    <w:p w14:paraId="5E757204" w14:textId="19C8DAB3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Use a simple template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with essential questions to establish a proper Research Data Management (RDM) workflow.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New researchers </w:t>
      </w:r>
      <w:r w:rsidR="00C11C8B">
        <w:rPr>
          <w:rFonts w:asciiTheme="majorHAnsi" w:hAnsiTheme="majorHAnsi" w:cstheme="majorHAnsi"/>
          <w:kern w:val="0"/>
          <w:sz w:val="22"/>
          <w:szCs w:val="22"/>
          <w:lang w:val="en-GB"/>
        </w:rPr>
        <w:t>should consult senior / other group members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on their RDM practices.</w:t>
      </w:r>
    </w:p>
    <w:p w14:paraId="5AA3E888" w14:textId="7F1E3029" w:rsidR="00AC7C85" w:rsidRPr="00AC7C85" w:rsidRDefault="00C11C8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 w:rsidR="00AC7C85"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chedule a meeting with your local Data Steward within the first 2 months of your 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(PI) </w:t>
      </w:r>
      <w:r w:rsidR="00AC7C85"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employment.</w:t>
      </w:r>
    </w:p>
    <w:p w14:paraId="5D1C8485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A14B75D" w14:textId="7539F4F9" w:rsidR="00AC7C85" w:rsidRPr="00AC62E7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62E7">
        <w:rPr>
          <w:rFonts w:asciiTheme="majorHAnsi" w:hAnsiTheme="majorHAnsi" w:cstheme="majorHAnsi"/>
          <w:bCs/>
          <w:kern w:val="0"/>
          <w:sz w:val="22"/>
          <w:szCs w:val="22"/>
          <w:lang w:val="en-GB"/>
        </w:rPr>
        <w:t xml:space="preserve">Choose </w:t>
      </w:r>
      <w:r w:rsidR="00AC62E7" w:rsidRPr="00AC62E7">
        <w:rPr>
          <w:rFonts w:asciiTheme="majorHAnsi" w:hAnsiTheme="majorHAnsi" w:cstheme="majorHAnsi"/>
          <w:bCs/>
          <w:kern w:val="0"/>
          <w:sz w:val="22"/>
          <w:szCs w:val="22"/>
          <w:lang w:val="en-GB"/>
        </w:rPr>
        <w:t xml:space="preserve">one of the </w:t>
      </w:r>
      <w:r w:rsidRPr="00AC62E7">
        <w:rPr>
          <w:rFonts w:asciiTheme="majorHAnsi" w:hAnsiTheme="majorHAnsi" w:cstheme="majorHAnsi"/>
          <w:bCs/>
          <w:kern w:val="0"/>
          <w:sz w:val="22"/>
          <w:szCs w:val="22"/>
          <w:lang w:val="en-GB"/>
        </w:rPr>
        <w:t>Data Storage Solutions</w:t>
      </w:r>
      <w:r w:rsidR="00AC62E7" w:rsidRPr="00AC62E7">
        <w:rPr>
          <w:rFonts w:asciiTheme="majorHAnsi" w:hAnsiTheme="majorHAnsi" w:cstheme="majorHAnsi"/>
          <w:bCs/>
          <w:kern w:val="0"/>
          <w:sz w:val="22"/>
          <w:szCs w:val="22"/>
          <w:lang w:val="en-GB"/>
        </w:rPr>
        <w:t xml:space="preserve"> below:</w:t>
      </w:r>
    </w:p>
    <w:p w14:paraId="4DB9F1CD" w14:textId="77777777" w:rsidR="00EB5C90" w:rsidRPr="00AC7C85" w:rsidRDefault="00EB5C9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tbl>
      <w:tblPr>
        <w:tblW w:w="9623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1584"/>
        <w:gridCol w:w="1584"/>
        <w:gridCol w:w="1584"/>
        <w:gridCol w:w="1584"/>
        <w:gridCol w:w="1584"/>
      </w:tblGrid>
      <w:tr w:rsidR="00AC7C85" w:rsidRPr="00AC7C85" w14:paraId="6909C8B7" w14:textId="77777777" w:rsidTr="00F00E10"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6CA135E9" w14:textId="77777777" w:rsidR="00AC7C85" w:rsidRPr="00AC7C85" w:rsidRDefault="00AC7C85" w:rsidP="00F00E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F9E2E7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FEIOG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26990FA" w14:textId="77777777" w:rsidR="00AC7C85" w:rsidRPr="00AC7C85" w:rsidRDefault="00AC7C85" w:rsidP="00F00E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6EBA980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ICTS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9D275E2" w14:textId="77777777" w:rsidR="00AC7C85" w:rsidRPr="00AC7C85" w:rsidRDefault="00AC7C85" w:rsidP="00F00E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A01258A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Office 365</w:t>
            </w:r>
          </w:p>
        </w:tc>
      </w:tr>
      <w:tr w:rsidR="00AC7C85" w:rsidRPr="00AC7C85" w14:paraId="15A76E5B" w14:textId="77777777" w:rsidTr="00F00E10">
        <w:tblPrEx>
          <w:tblBorders>
            <w:top w:val="none" w:sz="0" w:space="0" w:color="auto"/>
          </w:tblBorders>
        </w:tblPrEx>
        <w:trPr>
          <w:trHeight w:val="523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7660D6A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Name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611D7BCA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Institute Server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4322DDE2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Faculty Storage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BA6F75A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Research Drive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F6BFFC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proofErr w:type="spellStart"/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SurfDrive</w:t>
            </w:r>
            <w:proofErr w:type="spellEnd"/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D404518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OneDrive</w:t>
            </w:r>
          </w:p>
        </w:tc>
      </w:tr>
      <w:tr w:rsidR="00AC7C85" w:rsidRPr="00AC7C85" w14:paraId="0672FB67" w14:textId="77777777" w:rsidTr="00F00E10">
        <w:tblPrEx>
          <w:tblBorders>
            <w:top w:val="none" w:sz="0" w:space="0" w:color="auto"/>
          </w:tblBorders>
        </w:tblPrEx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3415B38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Location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D555C19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proofErr w:type="spellStart"/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UvA</w:t>
            </w:r>
            <w:proofErr w:type="spellEnd"/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EBADC03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proofErr w:type="spellStart"/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UvA</w:t>
            </w:r>
            <w:proofErr w:type="spellEnd"/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1972A06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Cloud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F33CDDF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Cloud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16DA581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Cloud</w:t>
            </w:r>
          </w:p>
        </w:tc>
      </w:tr>
      <w:tr w:rsidR="00AC7C85" w:rsidRPr="00AC7C85" w14:paraId="76EC1FEB" w14:textId="77777777" w:rsidTr="00F00E10">
        <w:tblPrEx>
          <w:tblBorders>
            <w:top w:val="none" w:sz="0" w:space="0" w:color="auto"/>
          </w:tblBorders>
        </w:tblPrEx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4235CBA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Size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BA8ED2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on request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A9FAFDF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on request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B2B0269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1-10TB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C084E7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500GB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5B7CACF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1TB</w:t>
            </w:r>
          </w:p>
        </w:tc>
      </w:tr>
      <w:tr w:rsidR="00AC7C85" w:rsidRPr="00AC7C85" w14:paraId="09530938" w14:textId="77777777" w:rsidTr="00F00E10">
        <w:tblPrEx>
          <w:tblBorders>
            <w:top w:val="none" w:sz="0" w:space="0" w:color="auto"/>
          </w:tblBorders>
        </w:tblPrEx>
        <w:trPr>
          <w:trHeight w:val="792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B916777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Backup mechanism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43B2C0D" w14:textId="42976FB1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None (unless set</w:t>
            </w:r>
            <w:r w:rsidR="00F00E10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 xml:space="preserve"> </w:t>
            </w: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by institute)?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D15D72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Snapshots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69EC94C3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Versioning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413FE9E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Versioning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E1BBDF3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Versioning</w:t>
            </w:r>
          </w:p>
        </w:tc>
      </w:tr>
      <w:tr w:rsidR="00AC7C85" w:rsidRPr="00AC7C85" w14:paraId="05E03109" w14:textId="77777777" w:rsidTr="00F00E10">
        <w:tblPrEx>
          <w:tblBorders>
            <w:top w:val="none" w:sz="0" w:space="0" w:color="auto"/>
          </w:tblBorders>
        </w:tblPrEx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1955913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Confidential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6986FC6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A8EC938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2CA7190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B7383B2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9900A18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</w:t>
            </w:r>
          </w:p>
        </w:tc>
      </w:tr>
      <w:tr w:rsidR="00AC7C85" w:rsidRPr="00AC7C85" w14:paraId="156EACEB" w14:textId="77777777" w:rsidTr="00F00E10">
        <w:tblPrEx>
          <w:tblBorders>
            <w:top w:val="none" w:sz="0" w:space="0" w:color="auto"/>
          </w:tblBorders>
        </w:tblPrEx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4C5D27B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Intended Use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428729B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Research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EC16773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Research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CAA50AA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Research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CE551D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Personal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48174E8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Personal</w:t>
            </w:r>
          </w:p>
        </w:tc>
      </w:tr>
      <w:tr w:rsidR="00AC7C85" w:rsidRPr="00AC7C85" w14:paraId="5965D1E9" w14:textId="77777777" w:rsidTr="00F00E10">
        <w:tblPrEx>
          <w:tblBorders>
            <w:top w:val="none" w:sz="0" w:space="0" w:color="auto"/>
          </w:tblBorders>
        </w:tblPrEx>
        <w:trPr>
          <w:trHeight w:val="523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1EC7588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 xml:space="preserve">Sharing (outside </w:t>
            </w:r>
            <w:proofErr w:type="spellStart"/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UvA</w:t>
            </w:r>
            <w:proofErr w:type="spellEnd"/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)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765CB2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72F94D3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176D2DA9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27D590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2DCE2B74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</w:tr>
      <w:tr w:rsidR="00AC7C85" w:rsidRPr="00AC7C85" w14:paraId="53F5DD4D" w14:textId="77777777" w:rsidTr="00F00E10">
        <w:trPr>
          <w:trHeight w:val="268"/>
        </w:trPr>
        <w:tc>
          <w:tcPr>
            <w:tcW w:w="170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3232D081" w14:textId="77777777" w:rsidR="00AC7C85" w:rsidRPr="00EB5C90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</w:pPr>
            <w:r w:rsidRPr="00EB5C90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Access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6275BE2D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CIFS/NFS/S3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A0DB1F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CIFS/NFS/S3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A7146F7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WebDAV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46BC63B2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WebDAV</w:t>
            </w:r>
          </w:p>
        </w:tc>
        <w:tc>
          <w:tcPr>
            <w:tcW w:w="158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44498811" w14:textId="77777777" w:rsidR="00AC7C85" w:rsidRPr="00AC7C85" w:rsidRDefault="00AC7C85" w:rsidP="00F00E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WebDAV</w:t>
            </w:r>
          </w:p>
        </w:tc>
      </w:tr>
    </w:tbl>
    <w:p w14:paraId="1A37A6BF" w14:textId="77777777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A14F981" w14:textId="309292A9" w:rsidR="00AC7C85" w:rsidRDefault="000B198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In the Molecular Photonics group</w:t>
      </w:r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, FEIOG is use for direct storage of data of </w:t>
      </w:r>
      <w:proofErr w:type="gramStart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>all important</w:t>
      </w:r>
      <w:proofErr w:type="gramEnd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equipment. OneDrive is recommended for storing of collections of data that belong to one project, before the data is made public via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for instance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proofErr w:type="spellStart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>FigShare</w:t>
      </w:r>
      <w:proofErr w:type="spellEnd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</w:p>
    <w:p w14:paraId="4AF719DC" w14:textId="77777777" w:rsidR="00C20055" w:rsidRPr="00AC7C85" w:rsidRDefault="00C2005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404A3B5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2. Data Collection and Recording</w:t>
      </w:r>
    </w:p>
    <w:p w14:paraId="21094B0B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C90BB3C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2.1. Data Collection Procedures</w:t>
      </w:r>
    </w:p>
    <w:p w14:paraId="576BEF9F" w14:textId="5A55F5CC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Follow standardised procedures for data collection to ensure consistency and quality.</w:t>
      </w:r>
    </w:p>
    <w:p w14:paraId="62D48625" w14:textId="2E1BCD6F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lastRenderedPageBreak/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Record metadata, including date, location, and instrument settings, for each dataset.</w:t>
      </w:r>
    </w:p>
    <w:p w14:paraId="0E2B1C0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6DFD3B3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2.2. Data Backup</w:t>
      </w:r>
    </w:p>
    <w:p w14:paraId="73C93D9C" w14:textId="0183A7C3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Regularly back up data to prevent loss in case of accidents or equipment failure.</w:t>
      </w:r>
    </w:p>
    <w:p w14:paraId="0A4D83BC" w14:textId="497ABC06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Use version control to track changes and updates to datasets.</w:t>
      </w:r>
    </w:p>
    <w:p w14:paraId="048C1876" w14:textId="35DB1A9B" w:rsidR="001326E3" w:rsidRDefault="001326E3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The data measured on our main equipment is directly stored on the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Feiogg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server for safety and security.</w:t>
      </w:r>
    </w:p>
    <w:p w14:paraId="319885B3" w14:textId="69FFF0B9" w:rsidR="001326E3" w:rsidRPr="00AC7C85" w:rsidRDefault="001326E3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Next to data safety this is also implemented to prevent data manipulation or fraud.</w:t>
      </w:r>
    </w:p>
    <w:p w14:paraId="5AC372B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7152297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2.3. Organisation and Documentation</w:t>
      </w:r>
    </w:p>
    <w:p w14:paraId="20DCA63E" w14:textId="49072425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Organise data files in a logical and consistent manner.</w:t>
      </w:r>
    </w:p>
    <w:p w14:paraId="4BE25284" w14:textId="1AC2DF26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Maintain clear and detailed documentation of data collection methods, instruments used, and any changes made during the project.</w:t>
      </w:r>
    </w:p>
    <w:p w14:paraId="40F76489" w14:textId="54C8517F" w:rsidR="001326E3" w:rsidRPr="00AC7C85" w:rsidRDefault="001326E3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The primary organization of data that is needed for RDM is focussed on a scientific publication, a BSc Thesis, a MSc thesis or PhD thesis. The organization of data can then proceed according to the order in the manuscript: for every figure the raw and processes or analysed data has to be provided. Figure numbering can be used as a primary organization of the data or one RDM project.</w:t>
      </w:r>
      <w:r w:rsidR="007E2667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This also applies to the Supporting Information of the manuscript.</w:t>
      </w:r>
    </w:p>
    <w:p w14:paraId="4484826C" w14:textId="69FA2E88" w:rsidR="00AC7C85" w:rsidRPr="00AC7C85" w:rsidRDefault="00E13056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During a project this can also be organized by means of a weekly electronic lab-journal (in e.g. Word,  cumulative is advised) or a monthly report with PPP (Problems, Progress Plans). Template is available from the author.</w:t>
      </w:r>
    </w:p>
    <w:p w14:paraId="2A8C355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5FE7F93D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3. Data Security and Ethical Considerations</w:t>
      </w:r>
    </w:p>
    <w:p w14:paraId="61518BCC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06D0DDE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3.1. Data Security</w:t>
      </w:r>
    </w:p>
    <w:p w14:paraId="42B9C1AF" w14:textId="3CBC9923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Protect sensitive and confidential data with encryption and restricted access.</w:t>
      </w:r>
    </w:p>
    <w:p w14:paraId="6B482DB7" w14:textId="33D537B1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Comply with data protection regulations and institutional policies.</w:t>
      </w:r>
    </w:p>
    <w:p w14:paraId="4B0EA8D6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0C6FEE0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3.2. Ethical Compliance</w:t>
      </w:r>
    </w:p>
    <w:p w14:paraId="3D0BB65F" w14:textId="72C366DB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Ensure ethical approval for data collection involving human subjects or sensitive information.</w:t>
      </w:r>
    </w:p>
    <w:p w14:paraId="056031F5" w14:textId="3C9CEF78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Anonymise and de-identify data when necessary to protect privacy.</w:t>
      </w:r>
    </w:p>
    <w:p w14:paraId="56693681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D5CDD0A" w14:textId="77777777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B5B400F" w14:textId="77777777" w:rsidR="00EB5C90" w:rsidRDefault="00EB5C9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343DF2D" w14:textId="77777777" w:rsidR="00EB5C90" w:rsidRPr="00AC7C85" w:rsidRDefault="00EB5C9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0E988ADF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4. Data Analysis and Interpretation</w:t>
      </w:r>
    </w:p>
    <w:p w14:paraId="0D14565F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0422751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4.1. Data Analysis Workflow</w:t>
      </w:r>
    </w:p>
    <w:p w14:paraId="64EB4017" w14:textId="3271430A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Document data analysis methods, software, and parameters used.</w:t>
      </w:r>
    </w:p>
    <w:p w14:paraId="3006A140" w14:textId="47E3DCA9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Maintain records of intermediate results and data transformations.</w:t>
      </w:r>
    </w:p>
    <w:p w14:paraId="0964E780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F11C568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4.2. Quality Control</w:t>
      </w:r>
    </w:p>
    <w:p w14:paraId="67CF118D" w14:textId="743A8A58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Implement quality control measures to identify and address errors or outliers in data.</w:t>
      </w:r>
    </w:p>
    <w:p w14:paraId="6466AE6B" w14:textId="1BCEF888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Document any data cleaning or </w:t>
      </w:r>
      <w:r w:rsidR="00EB5C90"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pre-processing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steps.</w:t>
      </w:r>
    </w:p>
    <w:p w14:paraId="4BF65553" w14:textId="77777777" w:rsidR="00EB5C90" w:rsidRDefault="00EB5C9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34202D7" w14:textId="77777777" w:rsidR="00EB5C90" w:rsidRPr="00AC7C85" w:rsidRDefault="00EB5C9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523E3B1A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5. Data Sharing and Collaboration</w:t>
      </w:r>
    </w:p>
    <w:p w14:paraId="386E346E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6DE2D95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5.1. Collaboration Agreements</w:t>
      </w:r>
    </w:p>
    <w:p w14:paraId="4487B43A" w14:textId="47DA9E72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If collaborating with other researchers or institutions, establish data sharing agreements, including data ownership, access, and publication rights.</w:t>
      </w:r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This can be part of </w:t>
      </w:r>
      <w:proofErr w:type="gramStart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>a</w:t>
      </w:r>
      <w:proofErr w:type="gramEnd"/>
      <w:r w:rsidR="00C2005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RDM plan for a proposal for funding.</w:t>
      </w:r>
    </w:p>
    <w:p w14:paraId="2519DBBB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C0F536C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5.2. Data Sharing Platform</w:t>
      </w:r>
    </w:p>
    <w:p w14:paraId="230042CF" w14:textId="02023F09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Deposit your research data in a suitable repository or platform, following community standards and best practices.</w:t>
      </w:r>
    </w:p>
    <w:p w14:paraId="5C0FBA51" w14:textId="28FD607E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Provide metadata and documentation to enhance data discoverability and reusability.</w:t>
      </w:r>
    </w:p>
    <w:p w14:paraId="7B1D0E55" w14:textId="7D90CBBD" w:rsidR="00C20055" w:rsidRPr="00AC7C85" w:rsidRDefault="00C2005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For data sharing within collaborations, OneDrive or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SurfDrive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can be used.</w:t>
      </w:r>
    </w:p>
    <w:p w14:paraId="626B9B54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5532C08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5.3. Open Access Considerations</w:t>
      </w:r>
    </w:p>
    <w:p w14:paraId="1711D5AA" w14:textId="5498AC6F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Align with the principle of 'as open as possible, as closed as necessary,' as appropriate to your research and subject area.</w:t>
      </w:r>
    </w:p>
    <w:p w14:paraId="223E9893" w14:textId="4C820FA0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Consider embargoes or restricted access when needed.</w:t>
      </w:r>
    </w:p>
    <w:p w14:paraId="5670139F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4AD9AE6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31C1EC1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6. Post-Project Data Management</w:t>
      </w:r>
    </w:p>
    <w:p w14:paraId="58D4AA9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71A1C3A3" w14:textId="535A21F8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Archiving Data</w:t>
      </w:r>
    </w:p>
    <w:p w14:paraId="65DB416B" w14:textId="1F52FDE0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Archive all </w:t>
      </w:r>
      <w:r w:rsidR="0022014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important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research data, including raw and processed data, metadata, and documentation, as outlined in your DMP.</w:t>
      </w:r>
      <w:r w:rsidR="00540AE2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(As discussed earlier, this can be first one in OneDrive during the project.</w:t>
      </w:r>
      <w:r w:rsidR="00E13056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This data or a selection thereof can now be made public</w:t>
      </w:r>
      <w:r w:rsidR="00540AE2">
        <w:rPr>
          <w:rFonts w:asciiTheme="majorHAnsi" w:hAnsiTheme="majorHAnsi" w:cstheme="majorHAnsi"/>
          <w:kern w:val="0"/>
          <w:sz w:val="22"/>
          <w:szCs w:val="22"/>
          <w:lang w:val="en-GB"/>
        </w:rPr>
        <w:t>)</w:t>
      </w:r>
      <w:r w:rsidR="00E13056"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</w:p>
    <w:p w14:paraId="276993CB" w14:textId="4E838682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Ensure data are stored in a secure and stable environment for long-term preservation</w:t>
      </w:r>
      <w:r w:rsidR="0022014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(</w:t>
      </w:r>
      <w:proofErr w:type="gramStart"/>
      <w:r w:rsidR="00220140">
        <w:rPr>
          <w:rFonts w:asciiTheme="majorHAnsi" w:hAnsiTheme="majorHAnsi" w:cstheme="majorHAnsi"/>
          <w:kern w:val="0"/>
          <w:sz w:val="22"/>
          <w:szCs w:val="22"/>
          <w:lang w:val="en-GB"/>
        </w:rPr>
        <w:t>10 year</w:t>
      </w:r>
      <w:proofErr w:type="gramEnd"/>
      <w:r w:rsidR="0022014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minimum)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</w:p>
    <w:p w14:paraId="18579822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3740B78" w14:textId="0A3A8635" w:rsidR="00AC7C85" w:rsidRDefault="0022014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Choose one of</w:t>
      </w:r>
      <w:r w:rsidR="00AC7C85"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the following archiving solutions:</w:t>
      </w:r>
    </w:p>
    <w:p w14:paraId="408DF536" w14:textId="77777777" w:rsidR="005A25D4" w:rsidRPr="00AC7C85" w:rsidRDefault="005A25D4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tbl>
      <w:tblPr>
        <w:tblW w:w="0" w:type="auto"/>
        <w:tblInd w:w="-118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160"/>
        <w:gridCol w:w="2160"/>
        <w:gridCol w:w="2160"/>
      </w:tblGrid>
      <w:tr w:rsidR="00AC7C85" w:rsidRPr="00AC7C85" w14:paraId="3969D8BA" w14:textId="77777777"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45E8E07F" w14:textId="77777777" w:rsidR="00AC7C85" w:rsidRPr="00AC7C85" w:rsidRDefault="00AC7C85" w:rsidP="00F00E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11F9432D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Digital Science Ltd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292E36D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CERN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82B8A6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ICTS</w:t>
            </w:r>
          </w:p>
        </w:tc>
      </w:tr>
      <w:tr w:rsidR="00AC7C85" w:rsidRPr="00AC7C85" w14:paraId="47308F6A" w14:textId="77777777">
        <w:tblPrEx>
          <w:tblBorders>
            <w:top w:val="none" w:sz="0" w:space="0" w:color="auto"/>
          </w:tblBorders>
        </w:tblPrEx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CAC37B4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b/>
                <w:bCs/>
                <w:kern w:val="0"/>
                <w:sz w:val="22"/>
                <w:szCs w:val="22"/>
                <w:lang w:val="en-GB"/>
              </w:rPr>
              <w:t>Name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5E1CFF3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proofErr w:type="spellStart"/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FigShare</w:t>
            </w:r>
            <w:proofErr w:type="spellEnd"/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2F39C22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proofErr w:type="spellStart"/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Zenodo</w:t>
            </w:r>
            <w:proofErr w:type="spellEnd"/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6B98BAE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Tape/Data Archive</w:t>
            </w:r>
          </w:p>
        </w:tc>
      </w:tr>
      <w:tr w:rsidR="00AC7C85" w:rsidRPr="00AC7C85" w14:paraId="158BBC40" w14:textId="77777777">
        <w:tblPrEx>
          <w:tblBorders>
            <w:top w:val="none" w:sz="0" w:space="0" w:color="auto"/>
          </w:tblBorders>
        </w:tblPrEx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CFAC36E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Location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B28185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Cloud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C3AC973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CERN Data Centre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64F26AE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Cloud</w:t>
            </w:r>
          </w:p>
        </w:tc>
      </w:tr>
      <w:tr w:rsidR="00AC7C85" w:rsidRPr="00AC7C85" w14:paraId="634FDA8A" w14:textId="77777777">
        <w:tblPrEx>
          <w:tblBorders>
            <w:top w:val="none" w:sz="0" w:space="0" w:color="auto"/>
          </w:tblBorders>
        </w:tblPrEx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CC1B154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Size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1DBCA155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20GB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8860E1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50GB (per dataset)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9D7B536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 limit</w:t>
            </w:r>
          </w:p>
        </w:tc>
      </w:tr>
      <w:tr w:rsidR="00AC7C85" w:rsidRPr="00AC7C85" w14:paraId="236DEA45" w14:textId="77777777">
        <w:tblPrEx>
          <w:tblBorders>
            <w:top w:val="none" w:sz="0" w:space="0" w:color="auto"/>
          </w:tblBorders>
        </w:tblPrEx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97FDEFD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Stored for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99A573F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 limit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111BC5F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 limit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07429A2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 limit</w:t>
            </w:r>
          </w:p>
        </w:tc>
      </w:tr>
      <w:tr w:rsidR="00AC7C85" w:rsidRPr="00AC7C85" w14:paraId="7413E632" w14:textId="77777777">
        <w:tblPrEx>
          <w:tblBorders>
            <w:top w:val="none" w:sz="0" w:space="0" w:color="auto"/>
          </w:tblBorders>
        </w:tblPrEx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4AC123CF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Sharing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E878A02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0C6741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Yes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860C936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No</w:t>
            </w:r>
          </w:p>
        </w:tc>
      </w:tr>
      <w:tr w:rsidR="00AC7C85" w:rsidRPr="00AC7C85" w14:paraId="59F8A4D3" w14:textId="77777777"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A72F43D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Cost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710AD8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Free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5DE57C2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Free</w:t>
            </w:r>
          </w:p>
        </w:tc>
        <w:tc>
          <w:tcPr>
            <w:tcW w:w="216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DD97209" w14:textId="77777777" w:rsidR="00AC7C85" w:rsidRPr="00AC7C85" w:rsidRDefault="00AC7C85" w:rsidP="00F00E1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</w:pPr>
            <w:r w:rsidRPr="00AC7C85">
              <w:rPr>
                <w:rFonts w:asciiTheme="majorHAnsi" w:hAnsiTheme="majorHAnsi" w:cstheme="majorHAnsi"/>
                <w:kern w:val="0"/>
                <w:sz w:val="22"/>
                <w:szCs w:val="22"/>
                <w:lang w:val="en-GB"/>
              </w:rPr>
              <w:t>On request</w:t>
            </w:r>
          </w:p>
        </w:tc>
      </w:tr>
    </w:tbl>
    <w:p w14:paraId="32D81F86" w14:textId="77777777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54049920" w14:textId="112EFF8E" w:rsidR="005A25D4" w:rsidRDefault="005B168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If possible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Fig</w:t>
      </w:r>
      <w:r w:rsidR="00E13056"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hare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will be the preferred archiving solution. But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if needed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,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others can be used as well.</w:t>
      </w:r>
    </w:p>
    <w:p w14:paraId="79B80DD9" w14:textId="4A58FEB6" w:rsidR="00E13056" w:rsidRDefault="00E13056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An example of 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a 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public RDM data 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collection 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can be found here:</w:t>
      </w:r>
    </w:p>
    <w:p w14:paraId="71B3F8DD" w14:textId="26F20447" w:rsidR="00E13056" w:rsidRDefault="000D033C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7" w:anchor="anker-publications-datasets" w:history="1">
        <w:r w:rsidRPr="000D033C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https://www.uva.nl/en/profile/w/i/r.m.willia</w:t>
        </w:r>
        <w:r w:rsidRPr="000D033C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ms/r.m.williams.html#</w:t>
        </w:r>
        <w:r w:rsidRPr="000D033C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anker-pu</w:t>
        </w:r>
        <w:r w:rsidRPr="000D033C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blications-datasets</w:t>
        </w:r>
      </w:hyperlink>
    </w:p>
    <w:p w14:paraId="386E45D7" w14:textId="0D3F5B83" w:rsidR="007437C3" w:rsidRDefault="007437C3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(go to Publications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and than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to Datasets if needed)</w:t>
      </w:r>
    </w:p>
    <w:p w14:paraId="67C82B5B" w14:textId="6C1B9599" w:rsidR="00E43DAD" w:rsidRDefault="00D06EDB" w:rsidP="00D06ED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CCD</w:t>
      </w:r>
      <w:r w:rsid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>C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, </w:t>
      </w:r>
      <w:r w:rsidR="00E43DAD" w:rsidRP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Cambridge Crystallographic Data </w:t>
      </w:r>
      <w:proofErr w:type="spellStart"/>
      <w:r w:rsidR="00E43DAD" w:rsidRP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>Centre</w:t>
      </w:r>
      <w:r w:rsid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, 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is the most </w:t>
      </w:r>
      <w:r w:rsid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established 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structure</w:t>
      </w:r>
      <w:r w:rsid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>d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RDM type feature in chemistry. </w:t>
      </w:r>
    </w:p>
    <w:p w14:paraId="3C07EDC0" w14:textId="78439094" w:rsidR="00E43DAD" w:rsidRDefault="00E43DAD" w:rsidP="00D06ED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8" w:history="1">
        <w:r w:rsidRPr="00E43DAD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https://www.ccdc.cam.ac.uk/</w:t>
        </w:r>
      </w:hyperlink>
    </w:p>
    <w:p w14:paraId="47505D62" w14:textId="053421F9" w:rsidR="00D06EDB" w:rsidRDefault="00D06EDB" w:rsidP="00D06ED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Similar organization means may well be organized within chemistry in the future.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PhotoChemCAD</w:t>
      </w:r>
      <w:proofErr w:type="spellEnd"/>
      <w:r w:rsidR="00E43DAD">
        <w:rPr>
          <w:rFonts w:asciiTheme="majorHAnsi" w:hAnsiTheme="majorHAnsi" w:cstheme="majorHAnsi"/>
          <w:kern w:val="0"/>
          <w:sz w:val="22"/>
          <w:szCs w:val="22"/>
          <w:lang w:val="en-GB"/>
        </w:rPr>
        <w:t>, for UV-Vis absorption and emission spectra,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is going in this direction.</w:t>
      </w:r>
    </w:p>
    <w:p w14:paraId="042B8984" w14:textId="3977A9F7" w:rsidR="00E17E20" w:rsidRDefault="00E17E20" w:rsidP="00D06ED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9" w:history="1">
        <w:r w:rsidRPr="00E17E20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https://www.photochemcad.com/databases/common-compounds</w:t>
        </w:r>
      </w:hyperlink>
    </w:p>
    <w:p w14:paraId="73789BCE" w14:textId="2A6A181B" w:rsidR="00E17E20" w:rsidRDefault="00E17E2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This is example of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figshare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data: </w:t>
      </w:r>
    </w:p>
    <w:p w14:paraId="77655DB4" w14:textId="3A53EF3A" w:rsidR="007437C3" w:rsidRDefault="00E17E2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10" w:history="1">
        <w:r w:rsidRPr="00C551F2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https://uvaauas.figshare</w:t>
        </w:r>
        <w:r w:rsidRPr="00C551F2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.com/authors/R_M_Williams/3645226</w:t>
        </w:r>
      </w:hyperlink>
    </w:p>
    <w:p w14:paraId="0928078D" w14:textId="5536F094" w:rsidR="00E13056" w:rsidRDefault="00E13056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702682DB" w14:textId="432B9AE0" w:rsidR="00E13056" w:rsidRDefault="00E13056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Two specific RDM data collection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s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, that are directly linked to a scientific publication are exemplified here:</w:t>
      </w:r>
    </w:p>
    <w:p w14:paraId="548E60BF" w14:textId="2E4514AC" w:rsidR="00E13056" w:rsidRDefault="007437C3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11" w:history="1">
        <w:r w:rsidRPr="007437C3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https://uvaauas.figshare.com/articles/dataset/Gibbbons-2023/22219864</w:t>
        </w:r>
      </w:hyperlink>
    </w:p>
    <w:p w14:paraId="2B36D81D" w14:textId="66F19117" w:rsidR="007437C3" w:rsidRDefault="007437C3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This is </w:t>
      </w:r>
      <w:proofErr w:type="gram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a</w:t>
      </w:r>
      <w:proofErr w:type="gram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r w:rsidR="00D06EDB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RDM data collection that belongs to one 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PhD Thesis </w:t>
      </w:r>
      <w:r w:rsidR="00D06EDB">
        <w:rPr>
          <w:rFonts w:asciiTheme="majorHAnsi" w:hAnsiTheme="majorHAnsi" w:cstheme="majorHAnsi"/>
          <w:kern w:val="0"/>
          <w:sz w:val="22"/>
          <w:szCs w:val="22"/>
          <w:lang w:val="en-GB"/>
        </w:rPr>
        <w:t>Chapter of D.J. Gibbons. The publication is accepted, and has a DOI.</w:t>
      </w:r>
    </w:p>
    <w:p w14:paraId="467BDF32" w14:textId="3AC28E01" w:rsidR="005B1680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A second example is a Publication with the POLYTHEA ITN</w:t>
      </w:r>
      <w:r w:rsidR="00E17E20">
        <w:rPr>
          <w:rFonts w:asciiTheme="majorHAnsi" w:hAnsiTheme="majorHAnsi" w:cstheme="majorHAnsi"/>
          <w:kern w:val="0"/>
          <w:sz w:val="22"/>
          <w:szCs w:val="22"/>
          <w:lang w:val="en-GB"/>
        </w:rPr>
        <w:t>-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EJD project from 2022:</w:t>
      </w:r>
    </w:p>
    <w:p w14:paraId="17619DF4" w14:textId="637D1E48" w:rsidR="00D06EDB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12" w:history="1">
        <w:r w:rsidRPr="00D06EDB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https://uvaauas.figshare.com/articles/dataset/SOCT-ISC-PyrDMA-input/17198408</w:t>
        </w:r>
      </w:hyperlink>
    </w:p>
    <w:p w14:paraId="51FF8F64" w14:textId="7AF4ADE1" w:rsidR="00D06EDB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This DOI is also specified in the publication:</w:t>
      </w:r>
    </w:p>
    <w:p w14:paraId="17BF9D62" w14:textId="560A042E" w:rsidR="00D06EDB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13" w:history="1">
        <w:r w:rsidRPr="00D06EDB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https://doi.org/10.3390/molecules27030891</w:t>
        </w:r>
      </w:hyperlink>
    </w:p>
    <w:p w14:paraId="594F2CDB" w14:textId="4D78A6B9" w:rsidR="00D06EDB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8A0E6E4" w14:textId="0B3EB631" w:rsidR="00D06EDB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The whole collection of RDM data that belongs to this HORIZON 2020 project can be found here:</w:t>
      </w:r>
    </w:p>
    <w:p w14:paraId="7FE028D3" w14:textId="04489287" w:rsidR="00D06EDB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hyperlink r:id="rId14" w:history="1">
        <w:r w:rsidRPr="00D06EDB">
          <w:rPr>
            <w:rStyle w:val="Hyperlink"/>
            <w:rFonts w:asciiTheme="majorHAnsi" w:hAnsiTheme="majorHAnsi" w:cstheme="majorHAnsi"/>
            <w:kern w:val="0"/>
            <w:sz w:val="22"/>
            <w:szCs w:val="22"/>
            <w:lang w:val="en-GB"/>
          </w:rPr>
          <w:t>https://doi.org/10.3030/764837</w:t>
        </w:r>
      </w:hyperlink>
    </w:p>
    <w:p w14:paraId="6F2A039B" w14:textId="77777777" w:rsidR="00D06EDB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5E389B80" w14:textId="77777777" w:rsidR="00D06EDB" w:rsidRPr="00AC7C85" w:rsidRDefault="00D06EDB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283E2E99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6.2. Metadata Preservation</w:t>
      </w:r>
    </w:p>
    <w:p w14:paraId="748E7207" w14:textId="192E50D1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Preserve metadata alongside the data to maintain context and facilitate data discovery.</w:t>
      </w:r>
    </w:p>
    <w:p w14:paraId="20DF18A0" w14:textId="326A3B96" w:rsidR="005B1680" w:rsidRPr="00AC7C85" w:rsidRDefault="005B168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In </w:t>
      </w:r>
      <w:proofErr w:type="gram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general</w:t>
      </w:r>
      <w:proofErr w:type="gram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the meta data will come with the output of the equipment. For </w:t>
      </w:r>
      <w:proofErr w:type="gram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instance</w:t>
      </w:r>
      <w:proofErr w:type="gram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the Origin file of the SPEX data contains all meta-data. Preference is therefore to include the Origin file. </w:t>
      </w:r>
    </w:p>
    <w:p w14:paraId="17B97D91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4212E34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6.3. Data Citation</w:t>
      </w:r>
    </w:p>
    <w:p w14:paraId="69A66FE3" w14:textId="307CA7E9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Assign persistent identifiers (e.g., DOIs) to datasets to enable proper citation in publications.</w:t>
      </w:r>
    </w:p>
    <w:p w14:paraId="39426BE3" w14:textId="49D0D082" w:rsidR="005B1680" w:rsidRPr="00AC7C85" w:rsidRDefault="005B168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This is standard in </w:t>
      </w:r>
      <w:proofErr w:type="spellStart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Figshare</w:t>
      </w:r>
      <w:proofErr w:type="spellEnd"/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.</w:t>
      </w:r>
      <w:r w:rsidR="00C64872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</w:t>
      </w:r>
      <w:r w:rsidR="003526F5">
        <w:rPr>
          <w:rFonts w:asciiTheme="majorHAnsi" w:hAnsiTheme="majorHAnsi" w:cstheme="majorHAnsi"/>
          <w:kern w:val="0"/>
          <w:sz w:val="22"/>
          <w:szCs w:val="22"/>
          <w:lang w:val="en-GB"/>
        </w:rPr>
        <w:t>See examples above.</w:t>
      </w:r>
    </w:p>
    <w:p w14:paraId="311F47C9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811A836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6.4. Data Access Policy</w:t>
      </w:r>
    </w:p>
    <w:p w14:paraId="786EF050" w14:textId="7662A5D9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Define who can access the archived data and under what conditions (e.g., open access, restricted access).</w:t>
      </w:r>
    </w:p>
    <w:p w14:paraId="53061EF4" w14:textId="6703AB6A" w:rsidR="00AC7C85" w:rsidRPr="00AC7C85" w:rsidRDefault="005B1680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This can be done with One-Drive or other modes of data storage.</w:t>
      </w:r>
    </w:p>
    <w:p w14:paraId="2CDE5414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84C4A25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7. Record Keeping</w:t>
      </w:r>
    </w:p>
    <w:p w14:paraId="51C56733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1D14EFB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7.1. Maintain Records</w:t>
      </w:r>
    </w:p>
    <w:p w14:paraId="473DE1D4" w14:textId="7B7171A2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Keep records of all data management activities, including changes, access requests, and data usage.</w:t>
      </w:r>
      <w:r w:rsidR="005B168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For </w:t>
      </w:r>
      <w:proofErr w:type="spellStart"/>
      <w:r w:rsidR="005B1680">
        <w:rPr>
          <w:rFonts w:asciiTheme="majorHAnsi" w:hAnsiTheme="majorHAnsi" w:cstheme="majorHAnsi"/>
          <w:kern w:val="0"/>
          <w:sz w:val="22"/>
          <w:szCs w:val="22"/>
          <w:lang w:val="en-GB"/>
        </w:rPr>
        <w:t>Figshare</w:t>
      </w:r>
      <w:proofErr w:type="spellEnd"/>
      <w:r w:rsidR="005B168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this is part of the system. No extra attention is needed.</w:t>
      </w:r>
    </w:p>
    <w:p w14:paraId="2C0D5663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16B7DBA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7.2. Document Decisions</w:t>
      </w:r>
    </w:p>
    <w:p w14:paraId="267328CE" w14:textId="7E1E8AEF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Document any deviations from the initial DMP and reasons for these changes.</w:t>
      </w:r>
    </w:p>
    <w:p w14:paraId="2AF14014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0433FF8F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59DFBE94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8. Data Publication</w:t>
      </w:r>
    </w:p>
    <w:p w14:paraId="779F255B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2F68FBFC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8.1. Prepare Data for Publication</w:t>
      </w:r>
    </w:p>
    <w:p w14:paraId="6997C9FC" w14:textId="40815E2D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Ensure that data and associated documentation are ready for publication, including compliance with any embargo periods.</w:t>
      </w:r>
    </w:p>
    <w:p w14:paraId="7F2CC7C6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73F8E11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8.2. Publish Data</w:t>
      </w:r>
    </w:p>
    <w:p w14:paraId="2DE08B1F" w14:textId="63BD1814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Publish data in the chosen repository or platform.</w:t>
      </w:r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For many purposes </w:t>
      </w:r>
      <w:proofErr w:type="spellStart"/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>Figshare</w:t>
      </w:r>
      <w:proofErr w:type="spellEnd"/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will be a good choice. There is now ample experience with this platform. Examples can be found as part of the literature tab of the </w:t>
      </w:r>
      <w:proofErr w:type="spellStart"/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>uva</w:t>
      </w:r>
      <w:proofErr w:type="spellEnd"/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homepage of co-workers.</w:t>
      </w:r>
    </w:p>
    <w:p w14:paraId="1A45F4AA" w14:textId="154D4158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lastRenderedPageBreak/>
        <w:t xml:space="preserve">- </w:t>
      </w:r>
      <w:r w:rsidR="001828AA">
        <w:rPr>
          <w:rFonts w:asciiTheme="majorHAnsi" w:hAnsiTheme="majorHAnsi" w:cstheme="majorHAnsi"/>
          <w:kern w:val="0"/>
          <w:sz w:val="22"/>
          <w:szCs w:val="22"/>
          <w:lang w:val="en-GB"/>
        </w:rPr>
        <w:t>The data can be cited with a typical DOI.</w:t>
      </w:r>
      <w:r w:rsidR="005B1680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Authors of the related work should be mentioned, but the PI or co-worker will be specified.</w:t>
      </w:r>
    </w:p>
    <w:p w14:paraId="08C7CD6A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74202310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0FEE0890" w14:textId="77777777" w:rsidR="00AC7C85" w:rsidRPr="00AC7C85" w:rsidRDefault="00AC7C85" w:rsidP="00F00E10">
      <w:pPr>
        <w:autoSpaceDE w:val="0"/>
        <w:autoSpaceDN w:val="0"/>
        <w:adjustRightInd w:val="0"/>
        <w:spacing w:after="40"/>
        <w:jc w:val="both"/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8"/>
          <w:szCs w:val="28"/>
          <w:lang w:val="en-GB"/>
        </w:rPr>
        <w:t>9. Review and Compliance</w:t>
      </w:r>
    </w:p>
    <w:p w14:paraId="39CB376E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</w:pPr>
    </w:p>
    <w:p w14:paraId="441A5CDD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9.1. Periodic Review</w:t>
      </w:r>
    </w:p>
    <w:p w14:paraId="42696553" w14:textId="092C2ACE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- </w:t>
      </w:r>
      <w:r w:rsidRPr="00AC7C85">
        <w:rPr>
          <w:rFonts w:asciiTheme="majorHAnsi" w:hAnsiTheme="majorHAnsi" w:cstheme="majorHAnsi"/>
          <w:kern w:val="0"/>
          <w:sz w:val="22"/>
          <w:szCs w:val="22"/>
          <w:lang w:val="en-GB"/>
        </w:rPr>
        <w:t>Periodically review and update data management practices and storage solutions to ensure compliance with evolving policies and standards.</w:t>
      </w:r>
    </w:p>
    <w:p w14:paraId="6060EF3A" w14:textId="5C3A0438" w:rsid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FDF96EF" w14:textId="2E19F491" w:rsidR="00F716D7" w:rsidRPr="00AC7C85" w:rsidRDefault="00F716D7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10</w:t>
      </w:r>
      <w:r w:rsidRPr="00AC7C85"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 xml:space="preserve">. </w:t>
      </w:r>
      <w:r>
        <w:rPr>
          <w:rFonts w:asciiTheme="majorHAnsi" w:hAnsiTheme="majorHAnsi" w:cstheme="majorHAnsi"/>
          <w:b/>
          <w:bCs/>
          <w:kern w:val="0"/>
          <w:sz w:val="22"/>
          <w:szCs w:val="22"/>
          <w:lang w:val="en-GB"/>
        </w:rPr>
        <w:t>Information for BSc, MSc, PhD students and postdocs</w:t>
      </w:r>
    </w:p>
    <w:p w14:paraId="7D9D8F1C" w14:textId="5A569756" w:rsidR="00F716D7" w:rsidRDefault="007778A8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In modern science you have to store all your important raw, processed and analysis data in an organized </w:t>
      </w:r>
      <w:r w:rsidR="002E75C6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(digital) 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way. This commences right at the start of your project. You are the first and foremost responsible person for the data that you have obtained. </w:t>
      </w:r>
    </w:p>
    <w:p w14:paraId="30330CCB" w14:textId="1332DA81" w:rsidR="007778A8" w:rsidRDefault="007778A8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If all goes well, your work will be made public by a scientific publication, or other. With this manuscript you will have to provide a collection of data and processed files. You can ask your supervisor which data is important. In </w:t>
      </w:r>
      <w:r w:rsidR="002E75C6">
        <w:rPr>
          <w:rFonts w:asciiTheme="majorHAnsi" w:hAnsiTheme="majorHAnsi" w:cstheme="majorHAnsi"/>
          <w:kern w:val="0"/>
          <w:sz w:val="22"/>
          <w:szCs w:val="22"/>
          <w:lang w:val="en-GB"/>
        </w:rPr>
        <w:t>general,</w:t>
      </w: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they will represent the best spectra that you have been able to obtain. No need to do RDM on lousy data/test runs or failed experiments.</w:t>
      </w:r>
    </w:p>
    <w:p w14:paraId="07F7EEC8" w14:textId="77777777" w:rsidR="002E75C6" w:rsidRDefault="007778A8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The best spectrum of the day, of the month or so will be the important ones.</w:t>
      </w:r>
      <w:r w:rsidR="002E75C6">
        <w:rPr>
          <w:rFonts w:asciiTheme="majorHAnsi" w:hAnsiTheme="majorHAnsi" w:cstheme="majorHAnsi"/>
          <w:kern w:val="0"/>
          <w:sz w:val="22"/>
          <w:szCs w:val="22"/>
          <w:lang w:val="en-GB"/>
        </w:rPr>
        <w:t xml:space="preserve"> This raw and processed data will be made available to the whole world. Any-one can have a second look at them, re-interpret or re-measure it. </w:t>
      </w:r>
    </w:p>
    <w:p w14:paraId="732B2CED" w14:textId="7004ECA8" w:rsidR="007778A8" w:rsidRPr="00AC7C85" w:rsidRDefault="002E75C6" w:rsidP="00F716D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  <w:r>
        <w:rPr>
          <w:rFonts w:asciiTheme="majorHAnsi" w:hAnsiTheme="majorHAnsi" w:cstheme="majorHAnsi"/>
          <w:kern w:val="0"/>
          <w:sz w:val="22"/>
          <w:szCs w:val="22"/>
          <w:lang w:val="en-GB"/>
        </w:rPr>
        <w:t>This will help the advancement of science to go faster than before. Your input is required.</w:t>
      </w:r>
    </w:p>
    <w:p w14:paraId="38C0BD20" w14:textId="552433DD" w:rsidR="00F716D7" w:rsidRDefault="00F716D7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68E68AD0" w14:textId="77777777" w:rsidR="00F716D7" w:rsidRPr="00AC7C85" w:rsidRDefault="00F716D7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01C66841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39A3378" w14:textId="77777777" w:rsidR="00AC7C85" w:rsidRPr="00AC7C85" w:rsidRDefault="00AC7C85" w:rsidP="00F00E1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kern w:val="0"/>
          <w:sz w:val="22"/>
          <w:szCs w:val="22"/>
          <w:lang w:val="en-GB"/>
        </w:rPr>
      </w:pPr>
    </w:p>
    <w:p w14:paraId="3105DAEC" w14:textId="77777777" w:rsidR="00E5491B" w:rsidRPr="00AC7C85" w:rsidRDefault="00E5491B" w:rsidP="00F00E10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E5491B" w:rsidRPr="00AC7C85" w:rsidSect="00C73254"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EC1B4" w14:textId="77777777" w:rsidR="00FF33B3" w:rsidRDefault="00FF33B3" w:rsidP="00AC7C85">
      <w:r>
        <w:separator/>
      </w:r>
    </w:p>
  </w:endnote>
  <w:endnote w:type="continuationSeparator" w:id="0">
    <w:p w14:paraId="4A30E499" w14:textId="77777777" w:rsidR="00FF33B3" w:rsidRDefault="00FF33B3" w:rsidP="00AC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1012974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0D24CA9" w14:textId="3262405A" w:rsidR="00AC7C85" w:rsidRDefault="00AC7C85" w:rsidP="0040151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88DDA2A" w14:textId="77777777" w:rsidR="00AC7C85" w:rsidRDefault="00AC7C85" w:rsidP="00AC7C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2405990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9F4F144" w14:textId="5D6944DB" w:rsidR="00AC7C85" w:rsidRDefault="00AC7C85" w:rsidP="0040151B">
        <w:pPr>
          <w:pStyle w:val="Footer"/>
          <w:framePr w:wrap="none" w:vAnchor="text" w:hAnchor="margin" w:xAlign="right" w:y="1"/>
          <w:rPr>
            <w:rStyle w:val="PageNumber"/>
          </w:rPr>
        </w:pPr>
        <w:r w:rsidRPr="00C06FE1"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begin"/>
        </w:r>
        <w:r w:rsidRPr="00C06FE1">
          <w:rPr>
            <w:rStyle w:val="PageNumber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C06FE1"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separate"/>
        </w:r>
        <w:r w:rsidRPr="00C06FE1">
          <w:rPr>
            <w:rStyle w:val="PageNumber"/>
            <w:rFonts w:asciiTheme="majorHAnsi" w:hAnsiTheme="majorHAnsi" w:cstheme="majorHAnsi"/>
            <w:noProof/>
            <w:sz w:val="20"/>
            <w:szCs w:val="20"/>
          </w:rPr>
          <w:t>1</w:t>
        </w:r>
        <w:r w:rsidRPr="00C06FE1"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AF2C402" w14:textId="5874055D" w:rsidR="00AC7C85" w:rsidRPr="00EB5C90" w:rsidRDefault="001326E3" w:rsidP="00AC7C85">
    <w:pPr>
      <w:pStyle w:val="Footer"/>
      <w:ind w:right="360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 xml:space="preserve">Based on </w:t>
    </w:r>
    <w:r w:rsidR="00C06FE1" w:rsidRPr="00EB5C90">
      <w:rPr>
        <w:rFonts w:asciiTheme="majorHAnsi" w:hAnsiTheme="majorHAnsi" w:cstheme="majorHAnsi"/>
        <w:sz w:val="18"/>
        <w:szCs w:val="18"/>
      </w:rPr>
      <w:t xml:space="preserve">01/09/2023 </w:t>
    </w:r>
    <w:r>
      <w:rPr>
        <w:rFonts w:asciiTheme="majorHAnsi" w:hAnsiTheme="majorHAnsi" w:cstheme="majorHAnsi"/>
        <w:sz w:val="18"/>
        <w:szCs w:val="18"/>
      </w:rPr>
      <w:t xml:space="preserve">template </w:t>
    </w:r>
    <w:r w:rsidR="00C06FE1" w:rsidRPr="00EB5C90">
      <w:rPr>
        <w:rFonts w:asciiTheme="majorHAnsi" w:hAnsiTheme="majorHAnsi" w:cstheme="majorHAnsi"/>
        <w:sz w:val="18"/>
        <w:szCs w:val="18"/>
      </w:rPr>
      <w:t>version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1A86A" w14:textId="77777777" w:rsidR="00FF33B3" w:rsidRDefault="00FF33B3" w:rsidP="00AC7C85">
      <w:r>
        <w:separator/>
      </w:r>
    </w:p>
  </w:footnote>
  <w:footnote w:type="continuationSeparator" w:id="0">
    <w:p w14:paraId="3F97684E" w14:textId="77777777" w:rsidR="00FF33B3" w:rsidRDefault="00FF33B3" w:rsidP="00AC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F764A96"/>
    <w:lvl w:ilvl="0" w:tplc="3E14E724">
      <w:start w:val="1"/>
      <w:numFmt w:val="bullet"/>
      <w:lvlText w:val="⁃"/>
      <w:lvlJc w:val="left"/>
      <w:pPr>
        <w:ind w:left="454" w:hanging="227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FFFFFFFF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FFFFFFFF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FFFFFFFF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FFFFFFFF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FFFFFFFF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0000044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FFFFFFFF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000004B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FFFFFFFF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0000051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F"/>
    <w:multiLevelType w:val="hybridMultilevel"/>
    <w:tmpl w:val="FFFFFFF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0000057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10"/>
    <w:multiLevelType w:val="hybridMultilevel"/>
    <w:tmpl w:val="FFFFFFFF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000005D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0011"/>
    <w:multiLevelType w:val="hybridMultilevel"/>
    <w:tmpl w:val="FFFFFFFF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0000064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0012"/>
    <w:multiLevelType w:val="hybridMultilevel"/>
    <w:tmpl w:val="FFFFFFFF"/>
    <w:lvl w:ilvl="0" w:tplc="000006A5">
      <w:start w:val="1"/>
      <w:numFmt w:val="bullet"/>
      <w:lvlText w:val="•"/>
      <w:lvlJc w:val="left"/>
      <w:pPr>
        <w:ind w:left="720" w:hanging="360"/>
      </w:pPr>
    </w:lvl>
    <w:lvl w:ilvl="1" w:tplc="000006A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0013"/>
    <w:multiLevelType w:val="hybridMultilevel"/>
    <w:tmpl w:val="FFFFFFFF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0000070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0014"/>
    <w:multiLevelType w:val="hybridMultilevel"/>
    <w:tmpl w:val="FFFFFFFF"/>
    <w:lvl w:ilvl="0" w:tplc="0000076D">
      <w:start w:val="1"/>
      <w:numFmt w:val="bullet"/>
      <w:lvlText w:val="•"/>
      <w:lvlJc w:val="left"/>
      <w:pPr>
        <w:ind w:left="720" w:hanging="360"/>
      </w:pPr>
    </w:lvl>
    <w:lvl w:ilvl="1" w:tplc="0000076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0015"/>
    <w:multiLevelType w:val="hybridMultilevel"/>
    <w:tmpl w:val="FFFFFFFF"/>
    <w:lvl w:ilvl="0" w:tplc="000007D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0016"/>
    <w:multiLevelType w:val="hybridMultilevel"/>
    <w:tmpl w:val="FFFFFFFF"/>
    <w:lvl w:ilvl="0" w:tplc="0000083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0017"/>
    <w:multiLevelType w:val="hybridMultilevel"/>
    <w:tmpl w:val="FFFFFFFF"/>
    <w:lvl w:ilvl="0" w:tplc="0000089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0000018"/>
    <w:multiLevelType w:val="hybridMultilevel"/>
    <w:tmpl w:val="FFFFFFFF"/>
    <w:lvl w:ilvl="0" w:tplc="000008F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0000019"/>
    <w:multiLevelType w:val="hybridMultilevel"/>
    <w:tmpl w:val="FFFFFFFF"/>
    <w:lvl w:ilvl="0" w:tplc="0000096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1AB4BD2"/>
    <w:multiLevelType w:val="hybridMultilevel"/>
    <w:tmpl w:val="71A89AF8"/>
    <w:lvl w:ilvl="0" w:tplc="520ABC5E">
      <w:start w:val="1"/>
      <w:numFmt w:val="bullet"/>
      <w:lvlText w:val="⁃"/>
      <w:lvlJc w:val="left"/>
      <w:pPr>
        <w:ind w:left="284" w:hanging="284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3CE5861"/>
    <w:multiLevelType w:val="hybridMultilevel"/>
    <w:tmpl w:val="F5D46E7A"/>
    <w:lvl w:ilvl="0" w:tplc="2FEA8E42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A5C0817"/>
    <w:multiLevelType w:val="hybridMultilevel"/>
    <w:tmpl w:val="B3FEB6D4"/>
    <w:lvl w:ilvl="0" w:tplc="A15E3436">
      <w:start w:val="1"/>
      <w:numFmt w:val="bullet"/>
      <w:lvlText w:val="⁃"/>
      <w:lvlJc w:val="left"/>
      <w:pPr>
        <w:ind w:left="284" w:hanging="57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6C95433"/>
    <w:multiLevelType w:val="hybridMultilevel"/>
    <w:tmpl w:val="5964DE70"/>
    <w:lvl w:ilvl="0" w:tplc="430A4F8E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7"/>
  </w:num>
  <w:num w:numId="22">
    <w:abstractNumId w:val="25"/>
  </w:num>
  <w:num w:numId="23">
    <w:abstractNumId w:val="26"/>
  </w:num>
  <w:num w:numId="24">
    <w:abstractNumId w:val="28"/>
  </w:num>
  <w:num w:numId="25">
    <w:abstractNumId w:val="20"/>
  </w:num>
  <w:num w:numId="26">
    <w:abstractNumId w:val="21"/>
  </w:num>
  <w:num w:numId="27">
    <w:abstractNumId w:val="22"/>
  </w:num>
  <w:num w:numId="28">
    <w:abstractNumId w:val="2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1B"/>
    <w:rsid w:val="0005245B"/>
    <w:rsid w:val="000B198B"/>
    <w:rsid w:val="000D033C"/>
    <w:rsid w:val="001326E3"/>
    <w:rsid w:val="001828AA"/>
    <w:rsid w:val="00220140"/>
    <w:rsid w:val="002253C1"/>
    <w:rsid w:val="002E75C6"/>
    <w:rsid w:val="003526F5"/>
    <w:rsid w:val="003B2FC3"/>
    <w:rsid w:val="0044796C"/>
    <w:rsid w:val="004928AE"/>
    <w:rsid w:val="004C0C7E"/>
    <w:rsid w:val="00540AE2"/>
    <w:rsid w:val="005A25D4"/>
    <w:rsid w:val="005B1680"/>
    <w:rsid w:val="00647B46"/>
    <w:rsid w:val="00683477"/>
    <w:rsid w:val="007437C3"/>
    <w:rsid w:val="007778A8"/>
    <w:rsid w:val="007E2667"/>
    <w:rsid w:val="007F57F1"/>
    <w:rsid w:val="009D0492"/>
    <w:rsid w:val="00A94527"/>
    <w:rsid w:val="00AC62E7"/>
    <w:rsid w:val="00AC7C85"/>
    <w:rsid w:val="00C06FE1"/>
    <w:rsid w:val="00C11C8B"/>
    <w:rsid w:val="00C20055"/>
    <w:rsid w:val="00C64872"/>
    <w:rsid w:val="00D06EDB"/>
    <w:rsid w:val="00E05A6E"/>
    <w:rsid w:val="00E13056"/>
    <w:rsid w:val="00E17E20"/>
    <w:rsid w:val="00E43DAD"/>
    <w:rsid w:val="00E5491B"/>
    <w:rsid w:val="00EB5C90"/>
    <w:rsid w:val="00F00E10"/>
    <w:rsid w:val="00F13820"/>
    <w:rsid w:val="00F716D7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27976D"/>
  <w15:chartTrackingRefBased/>
  <w15:docId w15:val="{63D22F02-41FA-B24F-A898-A7104B52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C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7C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C85"/>
  </w:style>
  <w:style w:type="paragraph" w:styleId="Footer">
    <w:name w:val="footer"/>
    <w:basedOn w:val="Normal"/>
    <w:link w:val="FooterChar"/>
    <w:uiPriority w:val="99"/>
    <w:unhideWhenUsed/>
    <w:rsid w:val="00AC7C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C85"/>
  </w:style>
  <w:style w:type="character" w:styleId="PageNumber">
    <w:name w:val="page number"/>
    <w:basedOn w:val="DefaultParagraphFont"/>
    <w:uiPriority w:val="99"/>
    <w:semiHidden/>
    <w:unhideWhenUsed/>
    <w:rsid w:val="00AC7C85"/>
  </w:style>
  <w:style w:type="character" w:styleId="Hyperlink">
    <w:name w:val="Hyperlink"/>
    <w:basedOn w:val="DefaultParagraphFont"/>
    <w:uiPriority w:val="99"/>
    <w:unhideWhenUsed/>
    <w:rsid w:val="000D03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03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37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cdc.cam.ac.uk/" TargetMode="External"/><Relationship Id="rId13" Type="http://schemas.openxmlformats.org/officeDocument/2006/relationships/hyperlink" Target="https://doi.org/10.3390/molecules2703089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va.nl/en/profile/w/i/r.m.williams/r.m.williams.html" TargetMode="External"/><Relationship Id="rId12" Type="http://schemas.openxmlformats.org/officeDocument/2006/relationships/hyperlink" Target="https://uvaauas.figshare.com/articles/dataset/SOCT-ISC-PyrDMA-input/1719840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vaauas.figshare.com/articles/dataset/Gibbbons-2023/2221986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uvaauas.figshare.com/authors/R_M_Williams/36452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hotochemcad.com/databases/common-compounds" TargetMode="External"/><Relationship Id="rId14" Type="http://schemas.openxmlformats.org/officeDocument/2006/relationships/hyperlink" Target="https://doi.org/10.3030/7648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 Marques Teixeira</dc:creator>
  <cp:keywords/>
  <dc:description/>
  <cp:lastModifiedBy>Rene M. Williams</cp:lastModifiedBy>
  <cp:revision>9</cp:revision>
  <dcterms:created xsi:type="dcterms:W3CDTF">2023-12-01T14:57:00Z</dcterms:created>
  <dcterms:modified xsi:type="dcterms:W3CDTF">2023-12-01T18:59:00Z</dcterms:modified>
  <cp:category/>
</cp:coreProperties>
</file>